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172C93" w14:textId="2273C65A" w:rsidR="00F6791D" w:rsidRPr="00E22258" w:rsidRDefault="00F6791D" w:rsidP="00F6791D">
      <w:pPr>
        <w:pStyle w:val="02-TtuloPrincipal-CLG"/>
      </w:pPr>
      <w:bookmarkStart w:id="0" w:name="_GoBack"/>
      <w:bookmarkEnd w:id="0"/>
      <w:r w:rsidRPr="00E22258">
        <w:t xml:space="preserve">PROJETO DE LEI DE CONVERSÃO Nº </w:t>
      </w:r>
      <w:r w:rsidR="007F2E27">
        <w:t>13</w:t>
      </w:r>
      <w:r w:rsidRPr="00E22258">
        <w:t>, DE 2017</w:t>
      </w:r>
    </w:p>
    <w:p w14:paraId="6415BB12" w14:textId="77777777" w:rsidR="00F6791D" w:rsidRPr="00E22258" w:rsidRDefault="00F6791D" w:rsidP="00F6791D">
      <w:pPr>
        <w:pStyle w:val="03-Ementa-CLG"/>
      </w:pPr>
      <w:r w:rsidRPr="00E22258">
        <w:t xml:space="preserve">Institui a Taxa de Controle de Incentivos Fiscais e a Taxa de Serviços em favor da Superintendência da Zona Franca de Manaus </w:t>
      </w:r>
      <w:r w:rsidR="00F33A29" w:rsidRPr="00E22258">
        <w:t>–</w:t>
      </w:r>
      <w:r w:rsidRPr="00E22258">
        <w:t xml:space="preserve"> Suframa e dá outras providências</w:t>
      </w:r>
    </w:p>
    <w:p w14:paraId="30B6A02B" w14:textId="77777777" w:rsidR="00F6791D" w:rsidRPr="00E22258" w:rsidRDefault="00F6791D" w:rsidP="00F6791D">
      <w:pPr>
        <w:pStyle w:val="05-Pargrafodetexto-CLG"/>
      </w:pPr>
      <w:r w:rsidRPr="00E22258">
        <w:t>O CONGRESSO NACIONAL decreta:</w:t>
      </w:r>
    </w:p>
    <w:p w14:paraId="692B6A69" w14:textId="77777777" w:rsidR="00F6791D" w:rsidRPr="00E22258" w:rsidRDefault="00F6791D" w:rsidP="00F6791D">
      <w:pPr>
        <w:pStyle w:val="05-Pargrafodetexto-CLG"/>
      </w:pPr>
      <w:r w:rsidRPr="00E22258">
        <w:rPr>
          <w:b/>
        </w:rPr>
        <w:t>Art. 1º</w:t>
      </w:r>
      <w:r w:rsidRPr="00E22258">
        <w:t xml:space="preserve"> Esta Lei dispõe sobre a competência da Superintendência da Zona Franca de Manaus – SUFRAMA para regular e controlar a importação e o ingresso de mercadorias, com incentivos fiscais, na Zona Franca de Manaus, nas Áreas de Livre Comércio ou na Amazônia Ocidental e institui a Taxa de Controle de Incentivos Fiscais – TCIF e a Taxa de Serviços – TS.</w:t>
      </w:r>
    </w:p>
    <w:p w14:paraId="419E215A" w14:textId="77777777" w:rsidR="00F6791D" w:rsidRPr="00E22258" w:rsidRDefault="00F6791D" w:rsidP="00F6791D">
      <w:pPr>
        <w:pStyle w:val="05-Pargrafodetexto-CLG"/>
      </w:pPr>
      <w:r w:rsidRPr="00E22258">
        <w:rPr>
          <w:b/>
        </w:rPr>
        <w:t>Art. 2º</w:t>
      </w:r>
      <w:r w:rsidRPr="00E22258">
        <w:t xml:space="preserve"> A importação de mercadorias estrangeiras no âmbito da Zona Franca de Manaus, das Áreas de Livre Comércio ou da Amazônia Ocidental deverá ser previamente licenciada pela Suframa para efeito de fruição dos incentivos fiscais por ela administrados.</w:t>
      </w:r>
    </w:p>
    <w:p w14:paraId="6A72400D" w14:textId="77777777" w:rsidR="00F6791D" w:rsidRPr="00E22258" w:rsidRDefault="00F6791D" w:rsidP="00F6791D">
      <w:pPr>
        <w:pStyle w:val="05-Pargrafodetexto-CLG"/>
      </w:pPr>
      <w:r w:rsidRPr="00E22258">
        <w:t>§ 1º O licenciamento dependerá da regularidade cadastral da pessoa jurídica junto à Suframa, da compatibilidade com ato aprobatório de projeto de que dependa a fruição dos incentivos fiscais e da inexistência de motivo determinante de sua suspensão ou sua exclusão.</w:t>
      </w:r>
    </w:p>
    <w:p w14:paraId="3C102211" w14:textId="77777777" w:rsidR="00F6791D" w:rsidRPr="00E22258" w:rsidRDefault="00F6791D" w:rsidP="00F6791D">
      <w:pPr>
        <w:pStyle w:val="05-Pargrafodetexto-CLG"/>
      </w:pPr>
      <w:r w:rsidRPr="00E22258">
        <w:t xml:space="preserve">§ 2º A Suframa controlará o cumprimento da licença de importação por ocasião da entrada das mercadorias referidas no </w:t>
      </w:r>
      <w:r w:rsidRPr="00E22258">
        <w:rPr>
          <w:i/>
        </w:rPr>
        <w:t>caput</w:t>
      </w:r>
      <w:r w:rsidRPr="00E22258">
        <w:t>.</w:t>
      </w:r>
    </w:p>
    <w:p w14:paraId="51F7BCDE" w14:textId="77777777" w:rsidR="00F6791D" w:rsidRPr="00E22258" w:rsidRDefault="00F6791D" w:rsidP="00F6791D">
      <w:pPr>
        <w:pStyle w:val="05-Pargrafodetexto-CLG"/>
      </w:pPr>
      <w:r w:rsidRPr="00E22258">
        <w:rPr>
          <w:b/>
        </w:rPr>
        <w:t>Art. 3º</w:t>
      </w:r>
      <w:r w:rsidRPr="00E22258">
        <w:t xml:space="preserve"> O ingresso de mercadorias procedentes do território nacional no âmbito da Zona Franca de Manaus, das Áreas de Livre Comércio ou da Amazônia Ocidental deverá ser previamente registrado junto à Suframa para efeito de fruição dos incentivos fiscais por ela administrados. </w:t>
      </w:r>
    </w:p>
    <w:p w14:paraId="2815708F" w14:textId="77777777" w:rsidR="00F6791D" w:rsidRPr="00E22258" w:rsidRDefault="00F6791D" w:rsidP="00F6791D">
      <w:pPr>
        <w:pStyle w:val="05-Pargrafodetexto-CLG"/>
      </w:pPr>
      <w:r w:rsidRPr="00E22258">
        <w:t>§ 1º O registro dependerá da regularidade cadastral da pessoa jurídica junto à Suframa e da inexistência de motivo determinante de suspensão ou exclusão dos incentivos fiscais.</w:t>
      </w:r>
    </w:p>
    <w:p w14:paraId="598BE49B" w14:textId="77777777" w:rsidR="00F6791D" w:rsidRPr="00E22258" w:rsidRDefault="00F6791D" w:rsidP="00F6791D">
      <w:pPr>
        <w:pStyle w:val="05-Pargrafodetexto-CLG"/>
      </w:pPr>
      <w:r w:rsidRPr="00E22258">
        <w:t xml:space="preserve">§ 2º A Suframa controlará o cumprimento das condições especificadas no registro por ocasião da entrada das mercadorias referidas no </w:t>
      </w:r>
      <w:r w:rsidRPr="00E22258">
        <w:rPr>
          <w:i/>
        </w:rPr>
        <w:t>caput</w:t>
      </w:r>
      <w:r w:rsidRPr="00E22258">
        <w:t>.</w:t>
      </w:r>
    </w:p>
    <w:p w14:paraId="66CDF329" w14:textId="77777777" w:rsidR="00F6791D" w:rsidRPr="00E22258" w:rsidRDefault="00F6791D" w:rsidP="00F6791D">
      <w:pPr>
        <w:pStyle w:val="05-Pargrafodetexto-CLG"/>
      </w:pPr>
      <w:r w:rsidRPr="00E22258">
        <w:rPr>
          <w:b/>
        </w:rPr>
        <w:t>Art. 4º</w:t>
      </w:r>
      <w:r w:rsidRPr="00E22258">
        <w:t xml:space="preserve"> O controle a ser exercido pela Suframa, em conformidade com os § 2º do art. 2º e § 2º do art. 3º, compreenderá, entre outras providências, a conferência da situação cadastral e fiscal da pessoa jurídica ou da entidade equiparada e da documentação fiscal e de transporte das mercadorias, a sua vistoria física, conforme a necessidade, e a averiguação de situações que possam ensejar a suspensão ou a exclusão dos incentivos fiscais.</w:t>
      </w:r>
    </w:p>
    <w:p w14:paraId="05F65878" w14:textId="77777777" w:rsidR="00F6791D" w:rsidRPr="00E22258" w:rsidRDefault="00F6791D" w:rsidP="00F6791D">
      <w:pPr>
        <w:pStyle w:val="05-Pargrafodetexto-CLG"/>
      </w:pPr>
      <w:r w:rsidRPr="00E22258">
        <w:t>Parágrafo único. No caso de importação ou ingresso de mercadorias destinadas a integrar processo fabril nas áreas incentivadas como insumos, componentes, partes e peças, o controle envolverá, adicionalmente, o acompanhamento de seu emprego em conformidade com o processo produtivo básico correspondente ao projeto econômico aprovado pela Suframa e do qual dependa a fruição dos incentivos fiscais, consoante critérios a serem estabelecidos por seu Conselho de Administração.</w:t>
      </w:r>
    </w:p>
    <w:p w14:paraId="56ACAEA3" w14:textId="77777777" w:rsidR="00F6791D" w:rsidRPr="00E22258" w:rsidRDefault="00F6791D" w:rsidP="00F6791D">
      <w:pPr>
        <w:pStyle w:val="05-Pargrafodetexto-CLG"/>
      </w:pPr>
      <w:r w:rsidRPr="00E22258">
        <w:rPr>
          <w:b/>
        </w:rPr>
        <w:t>Art. 5º</w:t>
      </w:r>
      <w:r w:rsidRPr="00E22258">
        <w:t xml:space="preserve"> Compete à Suframa prestar os serviços previstos no Anexo II, sem prejuízo de outros disciplinados em legislação específica.</w:t>
      </w:r>
    </w:p>
    <w:p w14:paraId="39B48226" w14:textId="77777777" w:rsidR="00F6791D" w:rsidRPr="00E22258" w:rsidRDefault="00F6791D" w:rsidP="00F6791D">
      <w:pPr>
        <w:pStyle w:val="05-Pargrafodetexto-CLG"/>
      </w:pPr>
      <w:r w:rsidRPr="00E22258">
        <w:rPr>
          <w:b/>
        </w:rPr>
        <w:t>Art. 6º</w:t>
      </w:r>
      <w:r w:rsidRPr="00E22258">
        <w:t xml:space="preserve"> Ficam instituídas a TCIF, pelo exercício do poder de polícia de que tratam o art. 2º ao art. 4º, e a TS, pela prestação dos serviços referidos no Anexo II.</w:t>
      </w:r>
    </w:p>
    <w:p w14:paraId="5CF1CAF6" w14:textId="77777777" w:rsidR="00F6791D" w:rsidRPr="00E22258" w:rsidRDefault="00F6791D" w:rsidP="00F6791D">
      <w:pPr>
        <w:pStyle w:val="05-Pargrafodetexto-CLG"/>
      </w:pPr>
      <w:r w:rsidRPr="00E22258">
        <w:rPr>
          <w:b/>
        </w:rPr>
        <w:t>Art. 7º</w:t>
      </w:r>
      <w:r w:rsidRPr="00E22258">
        <w:t xml:space="preserve"> São sujeitos passivos da TCIF a pessoa jurídica e a entidade equiparada que solicitarem o licenciamento de importação ou o registro de ingresso de mercadorias procedentes do território nacional, nos termos dos art. 2º e art. 3º.</w:t>
      </w:r>
    </w:p>
    <w:p w14:paraId="4304336E" w14:textId="77777777" w:rsidR="00F6791D" w:rsidRPr="00E22258" w:rsidRDefault="00F6791D" w:rsidP="00F6791D">
      <w:pPr>
        <w:pStyle w:val="05-Pargrafodetexto-CLG"/>
      </w:pPr>
      <w:r w:rsidRPr="00E22258">
        <w:rPr>
          <w:b/>
        </w:rPr>
        <w:t>Art. 8º</w:t>
      </w:r>
      <w:r w:rsidRPr="00E22258">
        <w:t xml:space="preserve"> Ocorre o fato gerador da TCIF no momento do registro de pedido de licenciamento de importação a que se refere o art. 2º ou do registro de protocolo de ingresso de mercadorias a que se refere o art. 3º, sendo devida em conformidade com a soma dos seguintes valores: </w:t>
      </w:r>
    </w:p>
    <w:p w14:paraId="1335EAAA" w14:textId="77777777" w:rsidR="00F6791D" w:rsidRPr="00E22258" w:rsidRDefault="00F6791D" w:rsidP="00F6791D">
      <w:pPr>
        <w:pStyle w:val="05-Pargrafodetexto-CLG"/>
      </w:pPr>
      <w:r w:rsidRPr="00E22258">
        <w:t xml:space="preserve">I - </w:t>
      </w:r>
      <w:proofErr w:type="gramStart"/>
      <w:r w:rsidRPr="00E22258">
        <w:t>por</w:t>
      </w:r>
      <w:proofErr w:type="gramEnd"/>
      <w:r w:rsidRPr="00E22258">
        <w:t xml:space="preserve"> cada pedido de licenciamento de importação ou por cada nota fiscal incluída em registro de ingresso de mercadorias em geral, o valor de R$ 200,00 (duzentos reais), limitando-se a 0,5% (cinco décimos por cento) do valor total das mercadorias constantes do respectivo documento; e</w:t>
      </w:r>
    </w:p>
    <w:p w14:paraId="16783E39" w14:textId="77777777" w:rsidR="00F6791D" w:rsidRPr="00E22258" w:rsidRDefault="00F6791D" w:rsidP="00F6791D">
      <w:pPr>
        <w:pStyle w:val="05-Pargrafodetexto-CLG"/>
      </w:pPr>
      <w:r w:rsidRPr="00E22258">
        <w:t xml:space="preserve">II - </w:t>
      </w:r>
      <w:proofErr w:type="gramStart"/>
      <w:r w:rsidRPr="00E22258">
        <w:t>para</w:t>
      </w:r>
      <w:proofErr w:type="gramEnd"/>
      <w:r w:rsidRPr="00E22258">
        <w:t xml:space="preserve"> cada mercadoria constante do pedido de licenciamento de importação ou de cada nota fiscal incluída em registro de protocolo de ingresso de mercadorias, o valor de R$ 30,00 (trinta reais), limitando-se cada parcela a 0,5% (cinco décimos por cento) do valor individual da correspondente mercadoria.</w:t>
      </w:r>
    </w:p>
    <w:p w14:paraId="673FBF76" w14:textId="0D2C7D34" w:rsidR="004277ED" w:rsidRPr="00E22258" w:rsidRDefault="004277ED" w:rsidP="004277ED">
      <w:pPr>
        <w:pStyle w:val="05-Pargrafodetexto-CLG"/>
      </w:pPr>
      <w:r w:rsidRPr="00E22258">
        <w:t xml:space="preserve">§ 1º Na hipótese do parágrafo único do art. 4º, os percentuais referidos nos incisos I e II do </w:t>
      </w:r>
      <w:r w:rsidRPr="00E22258">
        <w:rPr>
          <w:i/>
        </w:rPr>
        <w:t>caput</w:t>
      </w:r>
      <w:r w:rsidRPr="00E22258">
        <w:t xml:space="preserve"> deste artigo são de 1,5% (um inteiro e cinco décimos por cento).</w:t>
      </w:r>
    </w:p>
    <w:p w14:paraId="331193EA" w14:textId="377530D1" w:rsidR="004277ED" w:rsidRPr="00E22258" w:rsidRDefault="004277ED" w:rsidP="004277ED">
      <w:pPr>
        <w:pStyle w:val="05-Pargrafodetexto-CLG"/>
      </w:pPr>
      <w:r w:rsidRPr="00E22258">
        <w:t xml:space="preserve">§ 2º A partir de 1º de janeiro de 2018, exclusivamente na hipótese do parágrafo único do art. 4º, os valores fixos referidos nos incisos I e II do </w:t>
      </w:r>
      <w:r w:rsidRPr="00E22258">
        <w:rPr>
          <w:i/>
        </w:rPr>
        <w:t>caput</w:t>
      </w:r>
      <w:r w:rsidRPr="00E22258">
        <w:t xml:space="preserve"> deste artigo serão, respectivamente, de R$ 250,00 (duzentos e cinquenta reais) e R$ 45,00 (quarenta e cinco reais), mantidos os limites percentuais referidos no § 1º deste artigo.</w:t>
      </w:r>
    </w:p>
    <w:p w14:paraId="44643EF7" w14:textId="1609B334" w:rsidR="004277ED" w:rsidRPr="00E22258" w:rsidRDefault="004277ED" w:rsidP="004277ED">
      <w:pPr>
        <w:pStyle w:val="05-Pargrafodetexto-CLG"/>
      </w:pPr>
      <w:r w:rsidRPr="00E22258">
        <w:t xml:space="preserve">§ 3º Considera-se mercadoria cada bem especificado como item em pedido de licenciamento de importação ou em nota fiscal vinculada a protocolo de ingresso de mercadoria, para fins do inciso II do </w:t>
      </w:r>
      <w:r w:rsidRPr="00E22258">
        <w:rPr>
          <w:i/>
        </w:rPr>
        <w:t xml:space="preserve">caput </w:t>
      </w:r>
      <w:r w:rsidRPr="00E22258">
        <w:t>deste artigo.</w:t>
      </w:r>
    </w:p>
    <w:p w14:paraId="7D7FB052" w14:textId="77777777" w:rsidR="00F6791D" w:rsidRPr="00E22258" w:rsidRDefault="00F6791D" w:rsidP="00F6791D">
      <w:pPr>
        <w:pStyle w:val="05-Pargrafodetexto-CLG"/>
      </w:pPr>
      <w:r w:rsidRPr="00E22258">
        <w:rPr>
          <w:b/>
        </w:rPr>
        <w:t>Art. 9º</w:t>
      </w:r>
      <w:r w:rsidRPr="00E22258">
        <w:t xml:space="preserve"> São isentos do pagamento da TCIF:</w:t>
      </w:r>
    </w:p>
    <w:p w14:paraId="269C447C" w14:textId="77777777" w:rsidR="00F6791D" w:rsidRPr="00E22258" w:rsidRDefault="00F6791D" w:rsidP="00F6791D">
      <w:pPr>
        <w:pStyle w:val="05-Pargrafodetexto-CLG"/>
      </w:pPr>
      <w:r w:rsidRPr="00E22258">
        <w:t xml:space="preserve">I - </w:t>
      </w:r>
      <w:proofErr w:type="gramStart"/>
      <w:r w:rsidRPr="00E22258">
        <w:t>a</w:t>
      </w:r>
      <w:proofErr w:type="gramEnd"/>
      <w:r w:rsidRPr="00E22258">
        <w:t xml:space="preserve"> União, os Estados da Amazônia Ocidental, o Estado do Amapá, e os respectivos Municípios, autarquias e fundações públicas;</w:t>
      </w:r>
    </w:p>
    <w:p w14:paraId="53FC04EA" w14:textId="77777777" w:rsidR="00F6791D" w:rsidRPr="00E22258" w:rsidRDefault="00F6791D" w:rsidP="00F6791D">
      <w:pPr>
        <w:pStyle w:val="05-Pargrafodetexto-CLG"/>
      </w:pPr>
      <w:r w:rsidRPr="00E22258">
        <w:t xml:space="preserve">II - </w:t>
      </w:r>
      <w:proofErr w:type="gramStart"/>
      <w:r w:rsidRPr="00E22258">
        <w:t>o</w:t>
      </w:r>
      <w:proofErr w:type="gramEnd"/>
      <w:r w:rsidRPr="00E22258">
        <w:t xml:space="preserve"> microempreendedor individual, as microempresas e as empresas de pequeno porte optantes pelo regime especial simplificado de arrecadação de tributos e contribuições, em conformidade com a Lei Complementar nº 123, de 14 de dezembro de 2006, e a Lei Complementar nº 128, de 19 de dezembro de 2008;</w:t>
      </w:r>
    </w:p>
    <w:p w14:paraId="065563DF" w14:textId="77777777" w:rsidR="00F6791D" w:rsidRPr="00E22258" w:rsidRDefault="00F6791D" w:rsidP="00F6791D">
      <w:pPr>
        <w:pStyle w:val="05-Pargrafodetexto-CLG"/>
      </w:pPr>
      <w:r w:rsidRPr="00E22258">
        <w:t xml:space="preserve">III - as operações comerciais relativas a livros, jornais e periódicos e o papel destinado </w:t>
      </w:r>
      <w:proofErr w:type="gramStart"/>
      <w:r w:rsidRPr="00E22258">
        <w:t>a</w:t>
      </w:r>
      <w:proofErr w:type="gramEnd"/>
      <w:r w:rsidRPr="00E22258">
        <w:t xml:space="preserve"> sua impressão, os equipamentos médico-hospitalares e as mercadorias integrantes da cesta básica constantes no Anexo I, destinados à venda na Zona Franca de Manaus, nas Áreas de Livre Comércio e na Amazônia Ocidental;</w:t>
      </w:r>
    </w:p>
    <w:p w14:paraId="14E513D8" w14:textId="77777777" w:rsidR="00F6791D" w:rsidRPr="00E22258" w:rsidRDefault="00F6791D" w:rsidP="00F6791D">
      <w:pPr>
        <w:pStyle w:val="05-Pargrafodetexto-CLG"/>
      </w:pPr>
      <w:r w:rsidRPr="00E22258">
        <w:t>IV - as operações comerciais relativas a matérias-primas, produtos intermediários, materiais secundários e de embalagem, bens finais, componentes e outros insumos de origem nacional, destinadas às Áreas de Livre Comércio para a produção de bens com predominância ou preponderância de matéria-prima regional, conforme definido pelo Decreto nº 8.597, de 18 de dezembro de 2015, e pelo Decreto nº 6.614, de 23 de outubro de 2008, e pelos demais critérios estabelecidos pelo Conselho de Administração da Suframa;</w:t>
      </w:r>
    </w:p>
    <w:p w14:paraId="3336F0EE" w14:textId="77777777" w:rsidR="00F6791D" w:rsidRPr="00E22258" w:rsidRDefault="00F6791D" w:rsidP="00F6791D">
      <w:pPr>
        <w:pStyle w:val="05-Pargrafodetexto-CLG"/>
      </w:pPr>
      <w:r w:rsidRPr="00E22258">
        <w:t xml:space="preserve">V - </w:t>
      </w:r>
      <w:proofErr w:type="gramStart"/>
      <w:r w:rsidRPr="00E22258">
        <w:t>as</w:t>
      </w:r>
      <w:proofErr w:type="gramEnd"/>
      <w:r w:rsidRPr="00E22258">
        <w:t xml:space="preserve"> operações comerciais internas de compra e venda entre as áreas incentivadas sujeitas ao controle da Suframa;</w:t>
      </w:r>
    </w:p>
    <w:p w14:paraId="5DC59B6C" w14:textId="77777777" w:rsidR="00F6791D" w:rsidRPr="00E22258" w:rsidRDefault="00F6791D" w:rsidP="00F6791D">
      <w:pPr>
        <w:pStyle w:val="05-Pargrafodetexto-CLG"/>
      </w:pPr>
      <w:r w:rsidRPr="00E22258">
        <w:t xml:space="preserve">VI - </w:t>
      </w:r>
      <w:proofErr w:type="gramStart"/>
      <w:r w:rsidRPr="00E22258">
        <w:t>as</w:t>
      </w:r>
      <w:proofErr w:type="gramEnd"/>
      <w:r w:rsidRPr="00E22258">
        <w:t xml:space="preserve"> importações de produtos destinados à venda na Zona Franca de Manaus e nas Áreas de Livre Comércio; e</w:t>
      </w:r>
    </w:p>
    <w:p w14:paraId="00E86A96" w14:textId="77777777" w:rsidR="00F6791D" w:rsidRPr="00E22258" w:rsidRDefault="00F6791D" w:rsidP="00F6791D">
      <w:pPr>
        <w:pStyle w:val="05-Pargrafodetexto-CLG"/>
      </w:pPr>
      <w:r w:rsidRPr="00E22258">
        <w:t xml:space="preserve">VII - as operações comerciais relativas a dispositivos de tecnologia </w:t>
      </w:r>
      <w:proofErr w:type="spellStart"/>
      <w:r w:rsidRPr="00E22258">
        <w:t>assistiva</w:t>
      </w:r>
      <w:proofErr w:type="spellEnd"/>
      <w:r w:rsidRPr="00E22258">
        <w:t xml:space="preserve"> definidos em regulamento destinados à venda na Zona Franca de Manaus e nas Áreas de Livre Comércio.</w:t>
      </w:r>
    </w:p>
    <w:p w14:paraId="6F4DA2A1" w14:textId="77777777" w:rsidR="00F6791D" w:rsidRPr="00E22258" w:rsidRDefault="00F6791D" w:rsidP="00F6791D">
      <w:pPr>
        <w:pStyle w:val="05-Pargrafodetexto-CLG"/>
      </w:pPr>
      <w:r w:rsidRPr="00E22258">
        <w:t>Parágrafo único. As mercadorias que ingressarem na Zona Franca de Manaus para industrialização e posterior exportação contarão com a suspensão da TCIF, que se converterá em isenção, em razão da efetiva saída dos produtos do território nacional, conforme critérios a serem estabelecidos pelo Conselho de Administração da Suframa.</w:t>
      </w:r>
    </w:p>
    <w:p w14:paraId="1064E5CA" w14:textId="77777777" w:rsidR="00F6791D" w:rsidRPr="00E22258" w:rsidRDefault="00F6791D" w:rsidP="00F6791D">
      <w:pPr>
        <w:pStyle w:val="05-Pargrafodetexto-CLG"/>
      </w:pPr>
      <w:r w:rsidRPr="00E22258">
        <w:rPr>
          <w:b/>
        </w:rPr>
        <w:t>Art. 10.</w:t>
      </w:r>
      <w:r w:rsidRPr="00E22258">
        <w:t xml:space="preserve"> Os valores da TCIF estipulados no art. 8º serão reduzidos em 20% (vinte por cento) para os bens de informática, seus insumos e componentes, na hipótese em que o sujeito passivo os empregar em processo fabril que importe em realização de investimentos em pesquisa e desenvolvimento, conforme legislação específica e observado o disposto no parágrafo único do art. 4º.</w:t>
      </w:r>
    </w:p>
    <w:p w14:paraId="09D03999" w14:textId="77777777" w:rsidR="00F6791D" w:rsidRPr="00E22258" w:rsidRDefault="00F6791D" w:rsidP="00F6791D">
      <w:pPr>
        <w:pStyle w:val="05-Pargrafodetexto-CLG"/>
      </w:pPr>
      <w:r w:rsidRPr="00E22258">
        <w:rPr>
          <w:b/>
        </w:rPr>
        <w:t>Art. 11.</w:t>
      </w:r>
      <w:r w:rsidRPr="00E22258">
        <w:t xml:space="preserve"> A TCIF será recolhida por meio de Guia de Recolhimento da União até o último dia útil do mês seguinte ao da ocorrência do fato gerador enunciado no art. 8º desta Lei.</w:t>
      </w:r>
    </w:p>
    <w:p w14:paraId="143E5370" w14:textId="77777777" w:rsidR="00F6791D" w:rsidRPr="00E22258" w:rsidRDefault="00F6791D" w:rsidP="00F6791D">
      <w:pPr>
        <w:pStyle w:val="05-Pargrafodetexto-CLG"/>
      </w:pPr>
      <w:r w:rsidRPr="00E22258">
        <w:t>§ 1º É vedado o recolhimento de valores inferiores a R$50,00 (cinquenta reais), que deverão ser adicionados aos valores de operações subsequentes para recolhimento a ocorrer no prazo estabelecido para a primeira operação que determinar a superação deste limite.</w:t>
      </w:r>
    </w:p>
    <w:p w14:paraId="3613B3A6" w14:textId="77777777" w:rsidR="00F6791D" w:rsidRPr="00E22258" w:rsidRDefault="00F6791D" w:rsidP="00F6791D">
      <w:pPr>
        <w:pStyle w:val="05-Pargrafodetexto-CLG"/>
      </w:pPr>
      <w:r w:rsidRPr="00E22258">
        <w:t xml:space="preserve">§ 2º Os valores não recolhidos no prazo previsto no </w:t>
      </w:r>
      <w:r w:rsidRPr="00E22258">
        <w:rPr>
          <w:i/>
        </w:rPr>
        <w:t>caput</w:t>
      </w:r>
      <w:r w:rsidRPr="00E22258">
        <w:t xml:space="preserve"> serão acrescidos de juros e multa de mora calculados nos termos e na forma da legislação aplicável aos tributos federais.</w:t>
      </w:r>
    </w:p>
    <w:p w14:paraId="2CDFB77B" w14:textId="77777777" w:rsidR="00F6791D" w:rsidRPr="00E22258" w:rsidRDefault="00F6791D" w:rsidP="00F6791D">
      <w:pPr>
        <w:pStyle w:val="05-Pargrafodetexto-CLG"/>
      </w:pPr>
      <w:r w:rsidRPr="00E22258">
        <w:t>§ 3º Os créditos inscritos em dívida ativa serão acrescidos de encargo legal, substitutivo da condenação do devedor em honorários advocatícios, calculado nos termos e na forma da legislação aplicável à dívida ativa da União.</w:t>
      </w:r>
    </w:p>
    <w:p w14:paraId="1D8EAACC" w14:textId="77777777" w:rsidR="00F6791D" w:rsidRPr="00E22258" w:rsidRDefault="00F6791D" w:rsidP="00F6791D">
      <w:pPr>
        <w:pStyle w:val="05-Pargrafodetexto-CLG"/>
      </w:pPr>
      <w:r w:rsidRPr="00E22258">
        <w:t>§ 4º A não realização das exportações na forma do parágrafo único do art</w:t>
      </w:r>
      <w:r w:rsidR="00424909" w:rsidRPr="00E22258">
        <w:t>.</w:t>
      </w:r>
      <w:r w:rsidRPr="00E22258">
        <w:t xml:space="preserve"> 9º importará na cobrança da TCIF com os acréscimos moratórios previstos nos §§2º e 3º deste artigo.</w:t>
      </w:r>
    </w:p>
    <w:p w14:paraId="053B2808" w14:textId="77777777" w:rsidR="00F6791D" w:rsidRPr="00E22258" w:rsidRDefault="00F6791D" w:rsidP="00F6791D">
      <w:pPr>
        <w:pStyle w:val="05-Pargrafodetexto-CLG"/>
      </w:pPr>
      <w:r w:rsidRPr="00E22258">
        <w:t xml:space="preserve">§ 5º O pedido de licenciamento de importação ou o registro de ingresso de mercadorias será cancelado pela Suframa na hipótese de as mercadorias neles referidas não ingressarem nas áreas incentivadas enunciadas nos </w:t>
      </w:r>
      <w:proofErr w:type="spellStart"/>
      <w:r w:rsidRPr="00E22258">
        <w:t>arts</w:t>
      </w:r>
      <w:proofErr w:type="spellEnd"/>
      <w:r w:rsidRPr="00E22258">
        <w:t>. 2º e 3º desta Lei até o último dia de validade da licença de importação ou do prazo para confirmação do recebimento da mercadoria pelo destinatário.</w:t>
      </w:r>
    </w:p>
    <w:p w14:paraId="497B7F2A" w14:textId="77777777" w:rsidR="00F6791D" w:rsidRPr="00E22258" w:rsidRDefault="00F6791D" w:rsidP="00F6791D">
      <w:pPr>
        <w:pStyle w:val="05-Pargrafodetexto-CLG"/>
      </w:pPr>
      <w:r w:rsidRPr="00E22258">
        <w:t>§ 6º O cancelamento de que trata o § 5º deste artigo não inibe a ocorrência do fato gerador da TCIF enunciado no art. 8º desta Lei.</w:t>
      </w:r>
    </w:p>
    <w:p w14:paraId="21CA5A4E" w14:textId="77777777" w:rsidR="00F6791D" w:rsidRPr="00E22258" w:rsidRDefault="00F6791D" w:rsidP="00F6791D">
      <w:pPr>
        <w:pStyle w:val="05-Pargrafodetexto-CLG"/>
      </w:pPr>
      <w:r w:rsidRPr="00E22258">
        <w:t>§ 7º A existência de dívidas líquidas e exigíveis decorrentes do não recolhimento da TCIF importará em bloqueio automático do cadastro do sujeito passivo junto à Suframa.</w:t>
      </w:r>
    </w:p>
    <w:p w14:paraId="6AF73953" w14:textId="77777777" w:rsidR="00F6791D" w:rsidRPr="00E22258" w:rsidRDefault="00F6791D" w:rsidP="00F6791D">
      <w:pPr>
        <w:pStyle w:val="05-Pargrafodetexto-CLG"/>
      </w:pPr>
      <w:r w:rsidRPr="00E22258">
        <w:rPr>
          <w:b/>
        </w:rPr>
        <w:t>Art. 12.</w:t>
      </w:r>
      <w:r w:rsidRPr="00E22258">
        <w:t xml:space="preserve"> São sujeitos passivos da TS a pessoa jurídica, a entidade equiparada e a pessoa física que solicitarem os serviços previstos no Anexo II.</w:t>
      </w:r>
    </w:p>
    <w:p w14:paraId="295F20F0" w14:textId="77777777" w:rsidR="00F6791D" w:rsidRPr="00E22258" w:rsidRDefault="00F6791D" w:rsidP="00F6791D">
      <w:pPr>
        <w:pStyle w:val="05-Pargrafodetexto-CLG"/>
      </w:pPr>
      <w:r w:rsidRPr="00E22258">
        <w:rPr>
          <w:b/>
        </w:rPr>
        <w:t>Art. 13.</w:t>
      </w:r>
      <w:r w:rsidRPr="00E22258">
        <w:t xml:space="preserve"> Ocorre o fato gerador da TS no momento da solicitação dos serviços do Anexo II, de acordo com as especificações e os valores previstos.</w:t>
      </w:r>
    </w:p>
    <w:p w14:paraId="417F4D5C" w14:textId="77777777" w:rsidR="00F6791D" w:rsidRPr="00E22258" w:rsidRDefault="00F6791D" w:rsidP="00F6791D">
      <w:pPr>
        <w:pStyle w:val="05-Pargrafodetexto-CLG"/>
      </w:pPr>
      <w:r w:rsidRPr="00E22258">
        <w:t xml:space="preserve">Parágrafo único. Os valores da TS deverão ser recolhidos por meio de Guia de Recolhimento da União até o quinto dia útil seguinte ao do registro dos pedidos, sob pena de não processamento e cancelamento. </w:t>
      </w:r>
    </w:p>
    <w:p w14:paraId="4BC7A8C6" w14:textId="77777777" w:rsidR="00F6791D" w:rsidRPr="00E22258" w:rsidRDefault="00F6791D" w:rsidP="00F6791D">
      <w:pPr>
        <w:pStyle w:val="05-Pargrafodetexto-CLG"/>
      </w:pPr>
      <w:r w:rsidRPr="00E22258">
        <w:rPr>
          <w:b/>
        </w:rPr>
        <w:t>Art. 14.</w:t>
      </w:r>
      <w:r w:rsidRPr="00E22258">
        <w:t xml:space="preserve"> Os valores previstos no art. 8º e no Anexo II poderão ser atualizados anualmente em ato do Ministro de Estado da Indústria, Comércio Exterior e Serviços por aplicação do Índice de Preços ao Consumidor Amplo Especial </w:t>
      </w:r>
      <w:r w:rsidR="00144B06" w:rsidRPr="00E22258">
        <w:t>–</w:t>
      </w:r>
      <w:r w:rsidRPr="00E22258">
        <w:t xml:space="preserve"> IPCA-E do Instituto Brasileiro de Geografia e Estatística </w:t>
      </w:r>
      <w:r w:rsidR="00144B06" w:rsidRPr="00E22258">
        <w:t>–</w:t>
      </w:r>
      <w:r w:rsidRPr="00E22258">
        <w:t xml:space="preserve"> IBGE ou por índice que venha substituí-lo.</w:t>
      </w:r>
    </w:p>
    <w:p w14:paraId="576627F9" w14:textId="77777777" w:rsidR="005F1BC6" w:rsidRPr="00E22258" w:rsidRDefault="005F1BC6" w:rsidP="005F1BC6">
      <w:pPr>
        <w:pStyle w:val="05-Pargrafodetexto-CLG"/>
        <w:rPr>
          <w:bCs/>
        </w:rPr>
      </w:pPr>
      <w:r w:rsidRPr="00E22258">
        <w:rPr>
          <w:b/>
          <w:bCs/>
        </w:rPr>
        <w:t>Art. 15.</w:t>
      </w:r>
      <w:r w:rsidRPr="00E22258">
        <w:rPr>
          <w:bCs/>
        </w:rPr>
        <w:t xml:space="preserve"> Os recursos provenientes da arrecadação da TCIF e da TS serão destinados exclusivamente ao custeio e às atividades fins da Suframa, vedada qualquer limitação de empenho e movimentação financeira desses recursos.</w:t>
      </w:r>
    </w:p>
    <w:p w14:paraId="0518614A" w14:textId="77777777" w:rsidR="005F1BC6" w:rsidRPr="00E22258" w:rsidRDefault="005F1BC6" w:rsidP="005F1BC6">
      <w:pPr>
        <w:pStyle w:val="05-Pargrafodetexto-CLG"/>
        <w:rPr>
          <w:bCs/>
        </w:rPr>
      </w:pPr>
      <w:r w:rsidRPr="00E22258">
        <w:rPr>
          <w:bCs/>
        </w:rPr>
        <w:t>§ 1º A distribuição dos recursos do orçamento próprio da Suframa será realizada de forma equitativa, nos termos de resolução a ser editada pelo seu Conselho de Administração.</w:t>
      </w:r>
    </w:p>
    <w:p w14:paraId="13590198" w14:textId="77777777" w:rsidR="005F1BC6" w:rsidRPr="00E22258" w:rsidRDefault="005F1BC6" w:rsidP="005F1BC6">
      <w:pPr>
        <w:pStyle w:val="05-Pargrafodetexto-CLG"/>
      </w:pPr>
      <w:r w:rsidRPr="00E22258">
        <w:t xml:space="preserve">§ 2º </w:t>
      </w:r>
      <w:proofErr w:type="gramStart"/>
      <w:r w:rsidRPr="00E22258">
        <w:t xml:space="preserve">A arrecadação oriunda das taxas referidas no </w:t>
      </w:r>
      <w:r w:rsidRPr="00E22258">
        <w:rPr>
          <w:i/>
          <w:iCs/>
        </w:rPr>
        <w:t>caput</w:t>
      </w:r>
      <w:r w:rsidRPr="00E22258">
        <w:rPr>
          <w:iCs/>
        </w:rPr>
        <w:t xml:space="preserve">, bem como a sua destinação, </w:t>
      </w:r>
      <w:r w:rsidRPr="00E22258">
        <w:t>deverão</w:t>
      </w:r>
      <w:proofErr w:type="gramEnd"/>
      <w:r w:rsidRPr="00E22258">
        <w:t xml:space="preserve"> ser tornadas públicas, em sítio da rede mundial de computadores, até o último dia do mês subsequente àquele em que foram realizadas.</w:t>
      </w:r>
    </w:p>
    <w:p w14:paraId="12F65506" w14:textId="7E32FC03" w:rsidR="00F6791D" w:rsidRPr="00E22258" w:rsidRDefault="00F6791D" w:rsidP="00F6791D">
      <w:pPr>
        <w:pStyle w:val="05-Pargrafodetexto-CLG"/>
      </w:pPr>
      <w:r w:rsidRPr="00E22258">
        <w:rPr>
          <w:b/>
        </w:rPr>
        <w:t>Art. 16.</w:t>
      </w:r>
      <w:r w:rsidRPr="00E22258">
        <w:t xml:space="preserve"> </w:t>
      </w:r>
      <w:r w:rsidR="00B7681F" w:rsidRPr="00E22258">
        <w:t>Os débitos decorrentes da não-realização, total ou parcial, a qualquer título, até o período encerrado em 31 de dezembro de 2016, de aplicações relativas ao investimento compulsório anual em pesquisa e desenvolvimento, de que tratam o art. 11 da Lei n</w:t>
      </w:r>
      <w:r w:rsidR="00B7681F" w:rsidRPr="00E22258">
        <w:rPr>
          <w:vertAlign w:val="superscript"/>
        </w:rPr>
        <w:t xml:space="preserve">o </w:t>
      </w:r>
      <w:r w:rsidR="00B7681F" w:rsidRPr="00E22258">
        <w:t>8.248, de 23 de outubro de 1991, e os §§ 3</w:t>
      </w:r>
      <w:r w:rsidR="00B7681F" w:rsidRPr="00E22258">
        <w:rPr>
          <w:vertAlign w:val="superscript"/>
        </w:rPr>
        <w:t>o</w:t>
      </w:r>
      <w:r w:rsidR="00B7681F" w:rsidRPr="00E22258">
        <w:t> e 5</w:t>
      </w:r>
      <w:r w:rsidR="00B7681F" w:rsidRPr="00E22258">
        <w:rPr>
          <w:vertAlign w:val="superscript"/>
        </w:rPr>
        <w:t>o</w:t>
      </w:r>
      <w:r w:rsidR="00B7681F" w:rsidRPr="00E22258">
        <w:t> do art. 2</w:t>
      </w:r>
      <w:r w:rsidR="00B7681F" w:rsidRPr="00E22258">
        <w:rPr>
          <w:vertAlign w:val="superscript"/>
        </w:rPr>
        <w:t>o</w:t>
      </w:r>
      <w:r w:rsidR="00B7681F" w:rsidRPr="00E22258">
        <w:t> da Lei n</w:t>
      </w:r>
      <w:r w:rsidR="00B7681F" w:rsidRPr="00E22258">
        <w:rPr>
          <w:vertAlign w:val="superscript"/>
        </w:rPr>
        <w:t>o</w:t>
      </w:r>
      <w:r w:rsidR="00B7681F" w:rsidRPr="00E22258">
        <w:t> 8.387, de 30 de dezembro de 1991, poderão ser objeto de parcelamento em até 48 (quarenta e oito) parcelas mensais e consecutivas.</w:t>
      </w:r>
      <w:r w:rsidRPr="00E22258">
        <w:t xml:space="preserve"> </w:t>
      </w:r>
    </w:p>
    <w:p w14:paraId="57517ACC" w14:textId="2F71A5FA" w:rsidR="00F6791D" w:rsidRPr="00E22258" w:rsidRDefault="00F6791D" w:rsidP="00B7681F">
      <w:pPr>
        <w:pStyle w:val="05-Pargrafodetexto-CLG"/>
      </w:pPr>
      <w:r w:rsidRPr="00E22258">
        <w:t>§ 1</w:t>
      </w:r>
      <w:r w:rsidR="00B7681F" w:rsidRPr="00E22258">
        <w:t>º</w:t>
      </w:r>
      <w:r w:rsidRPr="00E22258">
        <w:t xml:space="preserve"> O disposto neste artigo não contempla os débitos referentes a</w:t>
      </w:r>
      <w:r w:rsidR="00B7681F" w:rsidRPr="00E22258">
        <w:t xml:space="preserve"> investimentos </w:t>
      </w:r>
      <w:r w:rsidRPr="00E22258">
        <w:t xml:space="preserve">não realizados, originados de omissão de receita, apurada no curso de fiscalização realizada pela Secretaria da Receita Federal do Brasil. </w:t>
      </w:r>
    </w:p>
    <w:p w14:paraId="6BE0CCEF" w14:textId="1CD3F028" w:rsidR="00F6791D" w:rsidRPr="00E22258" w:rsidRDefault="00F6791D" w:rsidP="00B7681F">
      <w:pPr>
        <w:pStyle w:val="05-Pargrafodetexto-CLG"/>
      </w:pPr>
      <w:r w:rsidRPr="00E22258">
        <w:t>§ 2</w:t>
      </w:r>
      <w:r w:rsidR="00B7681F" w:rsidRPr="00E22258">
        <w:t>º</w:t>
      </w:r>
      <w:r w:rsidRPr="00E22258">
        <w:t xml:space="preserve"> Para efeito de consolidação, o valor dos débitos referidos no</w:t>
      </w:r>
      <w:r w:rsidR="00B7681F" w:rsidRPr="00E22258">
        <w:t xml:space="preserve"> </w:t>
      </w:r>
      <w:r w:rsidR="00B7681F" w:rsidRPr="00E22258">
        <w:rPr>
          <w:i/>
        </w:rPr>
        <w:t>caput</w:t>
      </w:r>
      <w:r w:rsidR="00B7681F" w:rsidRPr="00E22258">
        <w:t xml:space="preserve"> concernentes</w:t>
      </w:r>
      <w:r w:rsidRPr="00E22258">
        <w:t xml:space="preserve"> a cada ano-calendário será acrescido de Taxa de Juros de Longo Prazo – TJLP a partir do primeiro dia do ano-calendário subsequente àquele em que o investimento em pesquisa e desenvolvimento deveria ter sido realizado. </w:t>
      </w:r>
    </w:p>
    <w:p w14:paraId="2A22CB16" w14:textId="6605A86B" w:rsidR="00F6791D" w:rsidRPr="00E22258" w:rsidRDefault="00F6791D" w:rsidP="00B7681F">
      <w:pPr>
        <w:pStyle w:val="05-Pargrafodetexto-CLG"/>
      </w:pPr>
      <w:r w:rsidRPr="00E22258">
        <w:t xml:space="preserve">§ </w:t>
      </w:r>
      <w:r w:rsidR="00B7681F" w:rsidRPr="00E22258">
        <w:t>3º</w:t>
      </w:r>
      <w:r w:rsidRPr="00E22258">
        <w:t xml:space="preserve"> Os débitos consolidados conforme o disposto no § 2</w:t>
      </w:r>
      <w:r w:rsidR="00B7681F" w:rsidRPr="00E22258">
        <w:t>º</w:t>
      </w:r>
      <w:r w:rsidRPr="00E22258">
        <w:t xml:space="preserve"> deverão ser quitados mediante prestações mensais e consecutivas, a serem depositadas no Fundo Nacional de Desenvolvimento Científico e Tecnológico – FNDCT, ficando sujeitas, a partir da data base da consolidação, a juros correspondentes à variação mensal da TJLP. </w:t>
      </w:r>
    </w:p>
    <w:p w14:paraId="13D5D1F4" w14:textId="4103BE3B" w:rsidR="00F6791D" w:rsidRPr="00E22258" w:rsidRDefault="00F6791D" w:rsidP="00B7681F">
      <w:pPr>
        <w:pStyle w:val="05-Pargrafodetexto-CLG"/>
      </w:pPr>
      <w:r w:rsidRPr="00E22258">
        <w:t xml:space="preserve">§ </w:t>
      </w:r>
      <w:r w:rsidR="00A07C01" w:rsidRPr="00E22258">
        <w:t>4º</w:t>
      </w:r>
      <w:r w:rsidRPr="00E22258">
        <w:t xml:space="preserve"> O</w:t>
      </w:r>
      <w:r w:rsidR="00B7681F" w:rsidRPr="00E22258">
        <w:t xml:space="preserve"> valor</w:t>
      </w:r>
      <w:r w:rsidRPr="00E22258">
        <w:t xml:space="preserve"> de cada parcela não poderá ser inferior ao valor do débito, consolidado na forma do § 2</w:t>
      </w:r>
      <w:r w:rsidR="00A07C01" w:rsidRPr="00E22258">
        <w:t>º</w:t>
      </w:r>
      <w:r w:rsidRPr="00E22258">
        <w:t>, dividido pela quantidade total de parcelas, acrescido de juros conforme disposto no §</w:t>
      </w:r>
      <w:r w:rsidR="00A07C01" w:rsidRPr="00E22258">
        <w:t xml:space="preserve"> 3º</w:t>
      </w:r>
      <w:r w:rsidRPr="00E22258">
        <w:t xml:space="preserve">. </w:t>
      </w:r>
    </w:p>
    <w:p w14:paraId="0CE431A5" w14:textId="58D1CCED" w:rsidR="00F6791D" w:rsidRPr="00E22258" w:rsidRDefault="00F6791D" w:rsidP="00B7681F">
      <w:pPr>
        <w:pStyle w:val="05-Pargrafodetexto-CLG"/>
      </w:pPr>
      <w:r w:rsidRPr="00E22258">
        <w:t xml:space="preserve">§ </w:t>
      </w:r>
      <w:r w:rsidR="00A07C01" w:rsidRPr="00E22258">
        <w:t>5º</w:t>
      </w:r>
      <w:r w:rsidRPr="00E22258">
        <w:t xml:space="preserve"> Como medida alternativa ao parcelamento de que trata o </w:t>
      </w:r>
      <w:r w:rsidR="00A07C01" w:rsidRPr="00E22258">
        <w:rPr>
          <w:i/>
        </w:rPr>
        <w:t>caput</w:t>
      </w:r>
      <w:r w:rsidRPr="00E22258">
        <w:t xml:space="preserve">, a empresa beneficiária poderá propor plano de reinvestimento dos débitos referentes aos investimentos residuais, podendo contemplar débitos apurados em mais de um período até o que se encerra em 31 de dezembro de 2016, a ser aprovado pela Suframa conforme critérios a serem estabelecidos por seu </w:t>
      </w:r>
      <w:r w:rsidR="00A07C01" w:rsidRPr="00E22258">
        <w:t>C</w:t>
      </w:r>
      <w:r w:rsidRPr="00E22258">
        <w:t xml:space="preserve">onselho de </w:t>
      </w:r>
      <w:r w:rsidR="00A07C01" w:rsidRPr="00E22258">
        <w:t>A</w:t>
      </w:r>
      <w:r w:rsidRPr="00E22258">
        <w:t>dministração, ouvido o Ministério da Indústria, Comércio Exterior e Serviços.</w:t>
      </w:r>
    </w:p>
    <w:p w14:paraId="29513CAB" w14:textId="77777777" w:rsidR="00F6791D" w:rsidRPr="00E22258" w:rsidRDefault="00F6791D" w:rsidP="00F6791D">
      <w:pPr>
        <w:pStyle w:val="05-Pargrafodetexto-CLG"/>
      </w:pPr>
      <w:r w:rsidRPr="00E22258">
        <w:rPr>
          <w:b/>
        </w:rPr>
        <w:t>Art. 17.</w:t>
      </w:r>
      <w:r w:rsidRPr="00E22258">
        <w:t xml:space="preserve"> Ficam convalidados os atos praticados na vigência da Medida Provisória nº 757, de 19 de dezembro de 2016.</w:t>
      </w:r>
    </w:p>
    <w:p w14:paraId="2B10734F" w14:textId="77777777" w:rsidR="00021C01" w:rsidRPr="00E22258" w:rsidRDefault="00021C01" w:rsidP="00021C01">
      <w:pPr>
        <w:pStyle w:val="05-Pargrafodetexto-CLG"/>
      </w:pPr>
      <w:r w:rsidRPr="00E22258">
        <w:rPr>
          <w:b/>
        </w:rPr>
        <w:t>Art. 18.</w:t>
      </w:r>
      <w:r w:rsidRPr="00E22258">
        <w:t xml:space="preserve"> Esta Lei entra em vigor na data de sua publicação.</w:t>
      </w:r>
    </w:p>
    <w:p w14:paraId="31246063" w14:textId="5B9282C4" w:rsidR="00021C01" w:rsidRPr="00E22258" w:rsidRDefault="00021C01" w:rsidP="00021C01">
      <w:pPr>
        <w:pStyle w:val="05-Pargrafodetexto-CLG"/>
      </w:pPr>
      <w:r w:rsidRPr="00E22258">
        <w:t>Parágrafo único. A partir de 1º de janeiro de 2018, o valor do serviço de “A</w:t>
      </w:r>
      <w:r w:rsidRPr="00E22258">
        <w:rPr>
          <w:color w:val="000000"/>
        </w:rPr>
        <w:t>tualização Cadastral e Recadastramento” previsto no Anexo II desta Lei passa ser de R$ 50,00 (cinquenta reais).</w:t>
      </w:r>
    </w:p>
    <w:p w14:paraId="57D1D29B" w14:textId="77777777" w:rsidR="00F6791D" w:rsidRPr="00E22258" w:rsidRDefault="00F6791D" w:rsidP="00F6791D">
      <w:pPr>
        <w:pStyle w:val="05-Pargrafodetexto-CLG"/>
      </w:pPr>
      <w:r w:rsidRPr="00E22258">
        <w:rPr>
          <w:b/>
        </w:rPr>
        <w:t>Art. 19.</w:t>
      </w:r>
      <w:r w:rsidRPr="00E22258">
        <w:t xml:space="preserve"> Após o prazo de noventa dias, contado da data da publicação da Medida Provisória nº 757, de 2016, ficam revogados os </w:t>
      </w:r>
      <w:proofErr w:type="spellStart"/>
      <w:r w:rsidRPr="00E22258">
        <w:t>arts</w:t>
      </w:r>
      <w:proofErr w:type="spellEnd"/>
      <w:r w:rsidRPr="00E22258">
        <w:t>. 1º a 7º da Lei nº 9.960, de 28 de janeiro de 2000.</w:t>
      </w:r>
    </w:p>
    <w:p w14:paraId="27895DC6" w14:textId="77777777" w:rsidR="0018187C" w:rsidRPr="00E22258" w:rsidRDefault="0018187C" w:rsidP="00CC4B6B">
      <w:pPr>
        <w:pStyle w:val="05-Pargrafodetexto-CLG"/>
        <w:spacing w:after="0"/>
        <w:ind w:firstLine="0"/>
        <w:jc w:val="center"/>
        <w:rPr>
          <w:b/>
        </w:rPr>
      </w:pPr>
      <w:r w:rsidRPr="00E22258">
        <w:rPr>
          <w:b/>
        </w:rPr>
        <w:t>ANEXO I</w:t>
      </w:r>
    </w:p>
    <w:p w14:paraId="5C07178A" w14:textId="77777777" w:rsidR="00256E7F" w:rsidRPr="00E22258" w:rsidRDefault="00256E7F" w:rsidP="00CC4B6B">
      <w:pPr>
        <w:pStyle w:val="05-Pargrafodetexto-CLG"/>
        <w:spacing w:after="0"/>
        <w:ind w:firstLine="0"/>
        <w:jc w:val="center"/>
        <w:rPr>
          <w:b/>
        </w:rPr>
      </w:pPr>
    </w:p>
    <w:tbl>
      <w:tblPr>
        <w:tblW w:w="4120" w:type="pct"/>
        <w:jc w:val="center"/>
        <w:tblCellMar>
          <w:left w:w="0" w:type="dxa"/>
          <w:right w:w="0" w:type="dxa"/>
        </w:tblCellMar>
        <w:tblLook w:val="04A0" w:firstRow="1" w:lastRow="0" w:firstColumn="1" w:lastColumn="0" w:noHBand="0" w:noVBand="1"/>
      </w:tblPr>
      <w:tblGrid>
        <w:gridCol w:w="2724"/>
        <w:gridCol w:w="4267"/>
      </w:tblGrid>
      <w:tr w:rsidR="0018187C" w:rsidRPr="00E22258" w14:paraId="3E3E3154" w14:textId="77777777" w:rsidTr="001E1111">
        <w:trPr>
          <w:jc w:val="center"/>
        </w:trPr>
        <w:tc>
          <w:tcPr>
            <w:tcW w:w="279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DF4A1F" w14:textId="77777777" w:rsidR="0018187C" w:rsidRPr="00E22258" w:rsidRDefault="0018187C" w:rsidP="00C829AC">
            <w:pPr>
              <w:spacing w:before="100" w:beforeAutospacing="1" w:after="100" w:afterAutospacing="1" w:line="230" w:lineRule="atLeast"/>
              <w:jc w:val="center"/>
              <w:rPr>
                <w:sz w:val="20"/>
                <w:szCs w:val="20"/>
              </w:rPr>
            </w:pPr>
            <w:r w:rsidRPr="00E22258">
              <w:rPr>
                <w:caps/>
                <w:color w:val="000000"/>
                <w:sz w:val="20"/>
                <w:szCs w:val="20"/>
              </w:rPr>
              <w:t>CÓDIGO</w:t>
            </w:r>
          </w:p>
        </w:tc>
        <w:tc>
          <w:tcPr>
            <w:tcW w:w="43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2B7542" w14:textId="77777777" w:rsidR="0018187C" w:rsidRPr="00E22258" w:rsidRDefault="0018187C" w:rsidP="00C829AC">
            <w:pPr>
              <w:spacing w:before="100" w:beforeAutospacing="1" w:after="100" w:afterAutospacing="1" w:line="230" w:lineRule="atLeast"/>
              <w:jc w:val="center"/>
              <w:rPr>
                <w:sz w:val="20"/>
                <w:szCs w:val="20"/>
              </w:rPr>
            </w:pPr>
            <w:r w:rsidRPr="00E22258">
              <w:rPr>
                <w:caps/>
                <w:color w:val="000000"/>
                <w:sz w:val="20"/>
                <w:szCs w:val="20"/>
              </w:rPr>
              <w:t>PRODUTO</w:t>
            </w:r>
          </w:p>
        </w:tc>
      </w:tr>
      <w:tr w:rsidR="0018187C" w:rsidRPr="00E22258" w14:paraId="6F125942"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F740E0" w14:textId="77777777" w:rsidR="0018187C" w:rsidRPr="00E22258" w:rsidRDefault="0018187C" w:rsidP="0018187C">
            <w:pPr>
              <w:spacing w:before="100" w:beforeAutospacing="1" w:after="100" w:afterAutospacing="1" w:line="230" w:lineRule="atLeast"/>
              <w:rPr>
                <w:sz w:val="20"/>
                <w:szCs w:val="20"/>
              </w:rPr>
            </w:pPr>
            <w:r w:rsidRPr="00E22258">
              <w:rPr>
                <w:color w:val="000000"/>
                <w:sz w:val="20"/>
                <w:szCs w:val="20"/>
              </w:rPr>
              <w:t>1701.14.00; 1701.99.00</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1280B7A8"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AÇÚCAR</w:t>
            </w:r>
          </w:p>
        </w:tc>
      </w:tr>
      <w:tr w:rsidR="0018187C" w:rsidRPr="00E22258" w14:paraId="7A3B2F0E"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F71FC8"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1108.1200</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7C8AF739"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AMIDO DE MILHO</w:t>
            </w:r>
          </w:p>
        </w:tc>
      </w:tr>
      <w:tr w:rsidR="0018187C" w:rsidRPr="00E22258" w14:paraId="01A2C6F7"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8914E9"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1006</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64F40CFA"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ARROZ</w:t>
            </w:r>
          </w:p>
        </w:tc>
      </w:tr>
      <w:tr w:rsidR="0018187C" w:rsidRPr="00E22258" w14:paraId="362BA589"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B793AC"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0803</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09A91231"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BANANAS</w:t>
            </w:r>
          </w:p>
        </w:tc>
      </w:tr>
      <w:tr w:rsidR="0018187C" w:rsidRPr="00E22258" w14:paraId="1ADB99FD"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7A5A67"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1501</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47EAEEE5"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BANHA</w:t>
            </w:r>
          </w:p>
        </w:tc>
      </w:tr>
      <w:tr w:rsidR="0018187C" w:rsidRPr="00E22258" w14:paraId="55D82DC5"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AF4DBB"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0901</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6146026E"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CAFÉ</w:t>
            </w:r>
          </w:p>
        </w:tc>
      </w:tr>
      <w:tr w:rsidR="0018187C" w:rsidRPr="00E22258" w14:paraId="18F203B7"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60C96A"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0207</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591BC218"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CARNE DE AVES</w:t>
            </w:r>
          </w:p>
        </w:tc>
      </w:tr>
      <w:tr w:rsidR="0018187C" w:rsidRPr="00E22258" w14:paraId="7CB0610B"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8533AA"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0201; 0202</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6C1BAC5D"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CARNE DE BOVINO</w:t>
            </w:r>
          </w:p>
        </w:tc>
      </w:tr>
      <w:tr w:rsidR="0018187C" w:rsidRPr="00E22258" w14:paraId="04478BB4"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87ED8B"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0210.20.00</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1AB09B6E"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CHARQUE</w:t>
            </w:r>
          </w:p>
        </w:tc>
      </w:tr>
      <w:tr w:rsidR="0018187C" w:rsidRPr="00E22258" w14:paraId="046DA7AE"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C72978"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1602</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3E8EB976"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CONSERVA DE CARNES</w:t>
            </w:r>
          </w:p>
        </w:tc>
      </w:tr>
      <w:tr w:rsidR="0018187C" w:rsidRPr="00E22258" w14:paraId="37123C99"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C68072"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1106.20.00</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433A8522"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FARINHA DE MANDIOCA</w:t>
            </w:r>
          </w:p>
        </w:tc>
      </w:tr>
      <w:tr w:rsidR="0018187C" w:rsidRPr="00E22258" w14:paraId="392E41B7"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AB8BDA"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1101.00.10</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3D2114F8"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FARINHA DE TRIGO</w:t>
            </w:r>
          </w:p>
        </w:tc>
      </w:tr>
      <w:tr w:rsidR="0018187C" w:rsidRPr="00E22258" w14:paraId="08865A71"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9BD83B"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0713</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7BC32599"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FEIJÃO</w:t>
            </w:r>
          </w:p>
        </w:tc>
      </w:tr>
      <w:tr w:rsidR="0018187C" w:rsidRPr="00E22258" w14:paraId="35815BA8"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485E45"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0805</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64553FE7"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FRUTAS CÍTRICAS</w:t>
            </w:r>
          </w:p>
        </w:tc>
      </w:tr>
      <w:tr w:rsidR="0018187C" w:rsidRPr="00E22258" w14:paraId="7E1553D2"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A61499"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0708</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0470FFE3"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LEGUMES DE VAGENS</w:t>
            </w:r>
          </w:p>
        </w:tc>
      </w:tr>
      <w:tr w:rsidR="0018187C" w:rsidRPr="00E22258" w14:paraId="02F866EB"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3D8D83"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0704</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3B6A958F"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COUVES E PRODUTOS SEMELHANTES</w:t>
            </w:r>
          </w:p>
        </w:tc>
      </w:tr>
      <w:tr w:rsidR="0018187C" w:rsidRPr="00E22258" w14:paraId="7AEF597A"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91024B"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0701</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6C119E35"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BATATAS</w:t>
            </w:r>
          </w:p>
        </w:tc>
      </w:tr>
      <w:tr w:rsidR="0018187C" w:rsidRPr="00E22258" w14:paraId="00388204"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4891D5"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0402.99.00</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3A0F839A"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LEITE CONDENSADO</w:t>
            </w:r>
          </w:p>
        </w:tc>
      </w:tr>
      <w:tr w:rsidR="0018187C" w:rsidRPr="00E22258" w14:paraId="62A85264"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E0897B"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0402</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4B06E5BD"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LEITE EM PÓ</w:t>
            </w:r>
          </w:p>
        </w:tc>
      </w:tr>
      <w:tr w:rsidR="0018187C" w:rsidRPr="00E22258" w14:paraId="6FA337A9"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6DA45C"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0401</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7F475C0C"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LEITE FRESCO</w:t>
            </w:r>
          </w:p>
        </w:tc>
      </w:tr>
      <w:tr w:rsidR="0018187C" w:rsidRPr="00E22258" w14:paraId="2DF35DBE"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9B3F9C"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0405.10.00</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55E42F31"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MANTEIGA</w:t>
            </w:r>
          </w:p>
        </w:tc>
      </w:tr>
      <w:tr w:rsidR="0018187C" w:rsidRPr="00E22258" w14:paraId="5D96A6BB"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600DEC"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1517.10.00</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3C031703"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MARGARINA</w:t>
            </w:r>
          </w:p>
        </w:tc>
      </w:tr>
      <w:tr w:rsidR="0018187C" w:rsidRPr="00E22258" w14:paraId="39B57014"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872933"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1902</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17447E7E"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MASSAS ALIMENTÍCIAS</w:t>
            </w:r>
          </w:p>
        </w:tc>
      </w:tr>
      <w:tr w:rsidR="0018187C" w:rsidRPr="00E22258" w14:paraId="70A11C38"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9993F9"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1507</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1ECE6FBB"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ÓLEOS VEGETAIS</w:t>
            </w:r>
          </w:p>
        </w:tc>
      </w:tr>
      <w:tr w:rsidR="0018187C" w:rsidRPr="00E22258" w14:paraId="58B26A88"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C47A07"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0305</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5F8A5381"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PEIXE SALGADO</w:t>
            </w:r>
          </w:p>
        </w:tc>
      </w:tr>
      <w:tr w:rsidR="0018187C" w:rsidRPr="00E22258" w14:paraId="0CD8A07D"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ADC81C"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2501.00.20</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58E2B8CE"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SAL</w:t>
            </w:r>
          </w:p>
        </w:tc>
      </w:tr>
      <w:tr w:rsidR="0018187C" w:rsidRPr="00E22258" w14:paraId="59EC51C3"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91933B"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1604.13.10</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04CA24A4"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SARDINHA EM CONSERVA</w:t>
            </w:r>
          </w:p>
        </w:tc>
      </w:tr>
      <w:tr w:rsidR="0018187C" w:rsidRPr="00E22258" w14:paraId="5A8119BB"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0989CB"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1001.19.00</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3AF8166D"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TRIGO EM GRÃO</w:t>
            </w:r>
          </w:p>
        </w:tc>
      </w:tr>
      <w:tr w:rsidR="0018187C" w:rsidRPr="00E22258" w14:paraId="561C3976" w14:textId="77777777" w:rsidTr="001E1111">
        <w:trPr>
          <w:jc w:val="center"/>
        </w:trPr>
        <w:tc>
          <w:tcPr>
            <w:tcW w:w="27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C4F560" w14:textId="77777777" w:rsidR="0018187C" w:rsidRPr="00E22258" w:rsidRDefault="0018187C" w:rsidP="00C829AC">
            <w:pPr>
              <w:spacing w:before="100" w:beforeAutospacing="1" w:after="100" w:afterAutospacing="1" w:line="230" w:lineRule="atLeast"/>
              <w:rPr>
                <w:sz w:val="20"/>
                <w:szCs w:val="20"/>
              </w:rPr>
            </w:pPr>
            <w:r w:rsidRPr="00E22258">
              <w:rPr>
                <w:color w:val="000000"/>
                <w:sz w:val="20"/>
                <w:szCs w:val="20"/>
              </w:rPr>
              <w:t>0504</w:t>
            </w:r>
          </w:p>
        </w:tc>
        <w:tc>
          <w:tcPr>
            <w:tcW w:w="4393" w:type="dxa"/>
            <w:tcBorders>
              <w:top w:val="nil"/>
              <w:left w:val="nil"/>
              <w:bottom w:val="single" w:sz="8" w:space="0" w:color="auto"/>
              <w:right w:val="single" w:sz="8" w:space="0" w:color="auto"/>
            </w:tcBorders>
            <w:tcMar>
              <w:top w:w="0" w:type="dxa"/>
              <w:left w:w="108" w:type="dxa"/>
              <w:bottom w:w="0" w:type="dxa"/>
              <w:right w:w="108" w:type="dxa"/>
            </w:tcMar>
            <w:hideMark/>
          </w:tcPr>
          <w:p w14:paraId="10062092" w14:textId="77777777" w:rsidR="0018187C" w:rsidRPr="00E22258" w:rsidRDefault="0018187C" w:rsidP="00C829AC">
            <w:pPr>
              <w:spacing w:before="100" w:beforeAutospacing="1" w:after="100" w:afterAutospacing="1" w:line="230" w:lineRule="atLeast"/>
              <w:rPr>
                <w:sz w:val="20"/>
                <w:szCs w:val="20"/>
              </w:rPr>
            </w:pPr>
            <w:r w:rsidRPr="00E22258">
              <w:rPr>
                <w:caps/>
                <w:color w:val="000000"/>
                <w:sz w:val="20"/>
                <w:szCs w:val="20"/>
              </w:rPr>
              <w:t>VÍSCERAS</w:t>
            </w:r>
          </w:p>
        </w:tc>
      </w:tr>
    </w:tbl>
    <w:p w14:paraId="13D53518" w14:textId="77777777" w:rsidR="0018187C" w:rsidRPr="00E22258" w:rsidRDefault="0018187C" w:rsidP="0018187C">
      <w:pPr>
        <w:pStyle w:val="05-Pargrafodetexto-CLG"/>
        <w:rPr>
          <w:sz w:val="27"/>
          <w:szCs w:val="27"/>
        </w:rPr>
      </w:pPr>
    </w:p>
    <w:p w14:paraId="3D8F37B8" w14:textId="77777777" w:rsidR="00E22258" w:rsidRPr="00E22258" w:rsidRDefault="00E22258" w:rsidP="0018187C">
      <w:pPr>
        <w:pStyle w:val="05-Pargrafodetexto-CLG"/>
        <w:rPr>
          <w:sz w:val="27"/>
          <w:szCs w:val="27"/>
        </w:rPr>
      </w:pPr>
    </w:p>
    <w:p w14:paraId="7562894C" w14:textId="77777777" w:rsidR="0018187C" w:rsidRPr="00E22258" w:rsidRDefault="0018187C" w:rsidP="0018187C">
      <w:pPr>
        <w:pStyle w:val="05-Pargrafodetexto-CLG"/>
        <w:ind w:firstLine="0"/>
        <w:jc w:val="center"/>
        <w:rPr>
          <w:b/>
          <w:sz w:val="27"/>
          <w:szCs w:val="27"/>
        </w:rPr>
      </w:pPr>
      <w:r w:rsidRPr="00E22258">
        <w:rPr>
          <w:b/>
          <w:sz w:val="27"/>
          <w:szCs w:val="27"/>
        </w:rPr>
        <w:t>ANEXO II</w:t>
      </w:r>
    </w:p>
    <w:tbl>
      <w:tblPr>
        <w:tblW w:w="8787" w:type="dxa"/>
        <w:jc w:val="center"/>
        <w:tblCellMar>
          <w:left w:w="0" w:type="dxa"/>
          <w:right w:w="0" w:type="dxa"/>
        </w:tblCellMar>
        <w:tblLook w:val="04A0" w:firstRow="1" w:lastRow="0" w:firstColumn="1" w:lastColumn="0" w:noHBand="0" w:noVBand="1"/>
      </w:tblPr>
      <w:tblGrid>
        <w:gridCol w:w="5103"/>
        <w:gridCol w:w="2269"/>
        <w:gridCol w:w="1415"/>
      </w:tblGrid>
      <w:tr w:rsidR="00021C01" w:rsidRPr="00E22258" w14:paraId="65266E5A" w14:textId="77777777" w:rsidTr="00D315AC">
        <w:trPr>
          <w:jc w:val="center"/>
        </w:trPr>
        <w:tc>
          <w:tcPr>
            <w:tcW w:w="29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C8D2ABB" w14:textId="77777777" w:rsidR="00021C01" w:rsidRPr="00E22258" w:rsidRDefault="00021C01" w:rsidP="00D315AC">
            <w:pPr>
              <w:spacing w:before="100" w:beforeAutospacing="1" w:after="100" w:afterAutospacing="1" w:line="230" w:lineRule="atLeast"/>
              <w:jc w:val="center"/>
            </w:pPr>
            <w:r w:rsidRPr="00E22258">
              <w:rPr>
                <w:color w:val="000000"/>
              </w:rPr>
              <w:t>SERVIÇOS</w:t>
            </w:r>
          </w:p>
        </w:tc>
        <w:tc>
          <w:tcPr>
            <w:tcW w:w="129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EAD32DA" w14:textId="77777777" w:rsidR="00021C01" w:rsidRPr="00E22258" w:rsidRDefault="00021C01" w:rsidP="00D315AC">
            <w:pPr>
              <w:spacing w:before="100" w:beforeAutospacing="1" w:after="100" w:afterAutospacing="1" w:line="230" w:lineRule="atLeast"/>
              <w:jc w:val="center"/>
            </w:pPr>
            <w:r w:rsidRPr="00E22258">
              <w:rPr>
                <w:color w:val="000000"/>
              </w:rPr>
              <w:t>UNIDADE</w:t>
            </w:r>
          </w:p>
        </w:tc>
        <w:tc>
          <w:tcPr>
            <w:tcW w:w="80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584DD30" w14:textId="77777777" w:rsidR="00021C01" w:rsidRPr="00E22258" w:rsidRDefault="00021C01" w:rsidP="00D315AC">
            <w:pPr>
              <w:spacing w:before="100" w:beforeAutospacing="1" w:after="100" w:afterAutospacing="1" w:line="230" w:lineRule="atLeast"/>
              <w:jc w:val="center"/>
            </w:pPr>
            <w:r w:rsidRPr="00E22258">
              <w:rPr>
                <w:color w:val="000000"/>
              </w:rPr>
              <w:t>VALOR (R$)</w:t>
            </w:r>
          </w:p>
        </w:tc>
      </w:tr>
      <w:tr w:rsidR="00021C01" w:rsidRPr="00E22258" w14:paraId="778C7212" w14:textId="77777777" w:rsidTr="00D315AC">
        <w:trPr>
          <w:jc w:val="center"/>
        </w:trPr>
        <w:tc>
          <w:tcPr>
            <w:tcW w:w="29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644C76" w14:textId="77777777" w:rsidR="00021C01" w:rsidRPr="00E22258" w:rsidRDefault="00021C01" w:rsidP="00D315AC">
            <w:pPr>
              <w:spacing w:before="100" w:beforeAutospacing="1" w:after="100" w:afterAutospacing="1" w:line="230" w:lineRule="atLeast"/>
            </w:pPr>
            <w:r w:rsidRPr="00E22258">
              <w:rPr>
                <w:caps/>
                <w:color w:val="000000"/>
              </w:rPr>
              <w:t>CADASTRAMENTO</w:t>
            </w:r>
          </w:p>
        </w:tc>
        <w:tc>
          <w:tcPr>
            <w:tcW w:w="129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D61592" w14:textId="77777777" w:rsidR="00021C01" w:rsidRPr="00E22258" w:rsidRDefault="00021C01" w:rsidP="00D315AC">
            <w:pPr>
              <w:spacing w:before="100" w:beforeAutospacing="1" w:after="100" w:afterAutospacing="1" w:line="230" w:lineRule="atLeast"/>
            </w:pPr>
            <w:r w:rsidRPr="00E22258">
              <w:rPr>
                <w:caps/>
                <w:color w:val="000000"/>
              </w:rPr>
              <w:t>UNIDADE</w:t>
            </w:r>
          </w:p>
        </w:tc>
        <w:tc>
          <w:tcPr>
            <w:tcW w:w="805" w:type="pct"/>
            <w:tcBorders>
              <w:top w:val="nil"/>
              <w:left w:val="nil"/>
              <w:bottom w:val="single" w:sz="8" w:space="0" w:color="auto"/>
              <w:right w:val="single" w:sz="8" w:space="0" w:color="auto"/>
            </w:tcBorders>
            <w:tcMar>
              <w:top w:w="0" w:type="dxa"/>
              <w:left w:w="108" w:type="dxa"/>
              <w:bottom w:w="0" w:type="dxa"/>
              <w:right w:w="108" w:type="dxa"/>
            </w:tcMar>
            <w:hideMark/>
          </w:tcPr>
          <w:p w14:paraId="08065F8E" w14:textId="77777777" w:rsidR="00021C01" w:rsidRPr="00E22258" w:rsidRDefault="00021C01" w:rsidP="00D315AC">
            <w:pPr>
              <w:spacing w:before="100" w:beforeAutospacing="1" w:after="100" w:afterAutospacing="1" w:line="230" w:lineRule="atLeast"/>
              <w:jc w:val="center"/>
            </w:pPr>
            <w:r w:rsidRPr="00E22258">
              <w:rPr>
                <w:caps/>
                <w:color w:val="000000"/>
              </w:rPr>
              <w:t>140,37</w:t>
            </w:r>
          </w:p>
        </w:tc>
      </w:tr>
      <w:tr w:rsidR="00021C01" w:rsidRPr="00E22258" w14:paraId="42C5E281" w14:textId="77777777" w:rsidTr="00D315AC">
        <w:trPr>
          <w:jc w:val="center"/>
        </w:trPr>
        <w:tc>
          <w:tcPr>
            <w:tcW w:w="29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01122D" w14:textId="77777777" w:rsidR="00021C01" w:rsidRPr="00E22258" w:rsidRDefault="00021C01" w:rsidP="00D315AC">
            <w:pPr>
              <w:spacing w:before="100" w:beforeAutospacing="1" w:after="100" w:afterAutospacing="1" w:line="230" w:lineRule="atLeast"/>
            </w:pPr>
            <w:r w:rsidRPr="00E22258">
              <w:rPr>
                <w:caps/>
                <w:color w:val="000000"/>
              </w:rPr>
              <w:t>ATUALIZAÇÃO CADASTRAL E RECADASTRAMENTO</w:t>
            </w:r>
          </w:p>
        </w:tc>
        <w:tc>
          <w:tcPr>
            <w:tcW w:w="129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232914" w14:textId="77777777" w:rsidR="00021C01" w:rsidRPr="00E22258" w:rsidRDefault="00021C01" w:rsidP="00D315AC">
            <w:pPr>
              <w:spacing w:before="100" w:beforeAutospacing="1" w:after="100" w:afterAutospacing="1" w:line="230" w:lineRule="atLeast"/>
            </w:pPr>
            <w:r w:rsidRPr="00E22258">
              <w:rPr>
                <w:caps/>
                <w:color w:val="000000"/>
              </w:rPr>
              <w:t>UNIDADE</w:t>
            </w:r>
          </w:p>
        </w:tc>
        <w:tc>
          <w:tcPr>
            <w:tcW w:w="805" w:type="pct"/>
            <w:tcBorders>
              <w:top w:val="nil"/>
              <w:left w:val="nil"/>
              <w:bottom w:val="single" w:sz="8" w:space="0" w:color="auto"/>
              <w:right w:val="single" w:sz="8" w:space="0" w:color="auto"/>
            </w:tcBorders>
            <w:tcMar>
              <w:top w:w="0" w:type="dxa"/>
              <w:left w:w="108" w:type="dxa"/>
              <w:bottom w:w="0" w:type="dxa"/>
              <w:right w:w="108" w:type="dxa"/>
            </w:tcMar>
            <w:hideMark/>
          </w:tcPr>
          <w:p w14:paraId="05EBD137" w14:textId="77777777" w:rsidR="00021C01" w:rsidRPr="00E22258" w:rsidRDefault="00021C01" w:rsidP="00D315AC">
            <w:pPr>
              <w:spacing w:before="100" w:beforeAutospacing="1" w:after="100" w:afterAutospacing="1" w:line="230" w:lineRule="atLeast"/>
              <w:jc w:val="center"/>
            </w:pPr>
            <w:r w:rsidRPr="00E22258">
              <w:rPr>
                <w:caps/>
                <w:color w:val="000000"/>
              </w:rPr>
              <w:t>42,11</w:t>
            </w:r>
          </w:p>
        </w:tc>
      </w:tr>
      <w:tr w:rsidR="00021C01" w:rsidRPr="00E22258" w14:paraId="276D6D25" w14:textId="77777777" w:rsidTr="00D315AC">
        <w:trPr>
          <w:jc w:val="center"/>
        </w:trPr>
        <w:tc>
          <w:tcPr>
            <w:tcW w:w="29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8F3931" w14:textId="77777777" w:rsidR="00021C01" w:rsidRPr="00E22258" w:rsidRDefault="00021C01" w:rsidP="00D315AC">
            <w:pPr>
              <w:spacing w:before="100" w:beforeAutospacing="1" w:after="100" w:afterAutospacing="1" w:line="230" w:lineRule="atLeast"/>
            </w:pPr>
            <w:r w:rsidRPr="00E22258">
              <w:rPr>
                <w:caps/>
                <w:color w:val="000000"/>
              </w:rPr>
              <w:t>REATIVAÇÃO CADASTRAL</w:t>
            </w:r>
          </w:p>
        </w:tc>
        <w:tc>
          <w:tcPr>
            <w:tcW w:w="129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91EDD5" w14:textId="77777777" w:rsidR="00021C01" w:rsidRPr="00E22258" w:rsidRDefault="00021C01" w:rsidP="00D315AC">
            <w:pPr>
              <w:spacing w:before="100" w:beforeAutospacing="1" w:after="100" w:afterAutospacing="1" w:line="230" w:lineRule="atLeast"/>
            </w:pPr>
            <w:r w:rsidRPr="00E22258">
              <w:rPr>
                <w:caps/>
                <w:color w:val="000000"/>
              </w:rPr>
              <w:t>UNIDADE</w:t>
            </w:r>
          </w:p>
        </w:tc>
        <w:tc>
          <w:tcPr>
            <w:tcW w:w="805" w:type="pct"/>
            <w:tcBorders>
              <w:top w:val="nil"/>
              <w:left w:val="nil"/>
              <w:bottom w:val="single" w:sz="8" w:space="0" w:color="auto"/>
              <w:right w:val="single" w:sz="8" w:space="0" w:color="auto"/>
            </w:tcBorders>
            <w:tcMar>
              <w:top w:w="0" w:type="dxa"/>
              <w:left w:w="108" w:type="dxa"/>
              <w:bottom w:w="0" w:type="dxa"/>
              <w:right w:w="108" w:type="dxa"/>
            </w:tcMar>
            <w:hideMark/>
          </w:tcPr>
          <w:p w14:paraId="425DE6D6" w14:textId="77777777" w:rsidR="00021C01" w:rsidRPr="00E22258" w:rsidRDefault="00021C01" w:rsidP="00D315AC">
            <w:pPr>
              <w:spacing w:before="100" w:beforeAutospacing="1" w:after="100" w:afterAutospacing="1" w:line="230" w:lineRule="atLeast"/>
              <w:jc w:val="center"/>
            </w:pPr>
            <w:r w:rsidRPr="00E22258">
              <w:rPr>
                <w:caps/>
                <w:color w:val="000000"/>
              </w:rPr>
              <w:t>173,16</w:t>
            </w:r>
          </w:p>
        </w:tc>
      </w:tr>
      <w:tr w:rsidR="00021C01" w:rsidRPr="00E22258" w14:paraId="0573DD18" w14:textId="77777777" w:rsidTr="00D315AC">
        <w:trPr>
          <w:jc w:val="center"/>
        </w:trPr>
        <w:tc>
          <w:tcPr>
            <w:tcW w:w="29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00F045" w14:textId="77777777" w:rsidR="00021C01" w:rsidRPr="00E22258" w:rsidRDefault="00021C01" w:rsidP="00D315AC">
            <w:pPr>
              <w:spacing w:before="100" w:beforeAutospacing="1" w:after="100" w:afterAutospacing="1" w:line="230" w:lineRule="atLeast"/>
            </w:pPr>
            <w:r w:rsidRPr="00E22258">
              <w:rPr>
                <w:caps/>
                <w:color w:val="000000"/>
              </w:rPr>
              <w:t>FORNECIMENTO DE LISTAGENS E INFORMAÇÕES</w:t>
            </w:r>
          </w:p>
        </w:tc>
        <w:tc>
          <w:tcPr>
            <w:tcW w:w="129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0E5A03" w14:textId="77777777" w:rsidR="00021C01" w:rsidRPr="00E22258" w:rsidRDefault="00021C01" w:rsidP="00D315AC">
            <w:pPr>
              <w:spacing w:before="100" w:beforeAutospacing="1" w:after="100" w:afterAutospacing="1" w:line="230" w:lineRule="atLeast"/>
            </w:pPr>
            <w:r w:rsidRPr="00E22258">
              <w:rPr>
                <w:caps/>
                <w:color w:val="000000"/>
              </w:rPr>
              <w:t>FOLHA</w:t>
            </w:r>
          </w:p>
        </w:tc>
        <w:tc>
          <w:tcPr>
            <w:tcW w:w="805" w:type="pct"/>
            <w:tcBorders>
              <w:top w:val="nil"/>
              <w:left w:val="nil"/>
              <w:bottom w:val="single" w:sz="8" w:space="0" w:color="auto"/>
              <w:right w:val="single" w:sz="8" w:space="0" w:color="auto"/>
            </w:tcBorders>
            <w:tcMar>
              <w:top w:w="0" w:type="dxa"/>
              <w:left w:w="108" w:type="dxa"/>
              <w:bottom w:w="0" w:type="dxa"/>
              <w:right w:w="108" w:type="dxa"/>
            </w:tcMar>
            <w:hideMark/>
          </w:tcPr>
          <w:p w14:paraId="30A001DA" w14:textId="77777777" w:rsidR="00021C01" w:rsidRPr="00E22258" w:rsidRDefault="00021C01" w:rsidP="00D315AC">
            <w:pPr>
              <w:spacing w:before="100" w:beforeAutospacing="1" w:after="100" w:afterAutospacing="1" w:line="230" w:lineRule="atLeast"/>
              <w:jc w:val="center"/>
            </w:pPr>
            <w:r w:rsidRPr="00E22258">
              <w:rPr>
                <w:color w:val="000000"/>
              </w:rPr>
              <w:t>2,81</w:t>
            </w:r>
          </w:p>
        </w:tc>
      </w:tr>
      <w:tr w:rsidR="00021C01" w:rsidRPr="00E22258" w14:paraId="1C09F0B2" w14:textId="77777777" w:rsidTr="00D315AC">
        <w:trPr>
          <w:jc w:val="center"/>
        </w:trPr>
        <w:tc>
          <w:tcPr>
            <w:tcW w:w="29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F58D7A" w14:textId="77777777" w:rsidR="00021C01" w:rsidRPr="00E22258" w:rsidRDefault="00021C01" w:rsidP="00D315AC">
            <w:pPr>
              <w:spacing w:before="100" w:beforeAutospacing="1" w:after="100" w:afterAutospacing="1" w:line="230" w:lineRule="atLeast"/>
            </w:pPr>
            <w:r w:rsidRPr="00E22258">
              <w:rPr>
                <w:caps/>
                <w:color w:val="000000"/>
              </w:rPr>
              <w:t>ARMAZENAGEM E MOVIMENTAÇÃO DE CARGAS (MERCADORIAS DIVERSAS)</w:t>
            </w:r>
          </w:p>
        </w:tc>
        <w:tc>
          <w:tcPr>
            <w:tcW w:w="129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415E29" w14:textId="77777777" w:rsidR="00021C01" w:rsidRPr="00E22258" w:rsidRDefault="00021C01" w:rsidP="00D315AC">
            <w:pPr>
              <w:spacing w:before="100" w:beforeAutospacing="1" w:after="100" w:afterAutospacing="1" w:line="230" w:lineRule="atLeast"/>
            </w:pPr>
            <w:r w:rsidRPr="00E22258">
              <w:rPr>
                <w:caps/>
                <w:color w:val="000000"/>
              </w:rPr>
              <w:t>M</w:t>
            </w:r>
            <w:r w:rsidRPr="00E22258">
              <w:rPr>
                <w:caps/>
                <w:color w:val="000000"/>
                <w:vertAlign w:val="superscript"/>
              </w:rPr>
              <w:t>3/</w:t>
            </w:r>
            <w:r w:rsidRPr="00E22258">
              <w:rPr>
                <w:caps/>
                <w:color w:val="000000"/>
              </w:rPr>
              <w:t>15 DIAS</w:t>
            </w:r>
          </w:p>
        </w:tc>
        <w:tc>
          <w:tcPr>
            <w:tcW w:w="805" w:type="pct"/>
            <w:tcBorders>
              <w:top w:val="nil"/>
              <w:left w:val="nil"/>
              <w:bottom w:val="single" w:sz="8" w:space="0" w:color="auto"/>
              <w:right w:val="single" w:sz="8" w:space="0" w:color="auto"/>
            </w:tcBorders>
            <w:tcMar>
              <w:top w:w="0" w:type="dxa"/>
              <w:left w:w="108" w:type="dxa"/>
              <w:bottom w:w="0" w:type="dxa"/>
              <w:right w:w="108" w:type="dxa"/>
            </w:tcMar>
            <w:hideMark/>
          </w:tcPr>
          <w:p w14:paraId="59C60064" w14:textId="77777777" w:rsidR="00021C01" w:rsidRPr="00E22258" w:rsidRDefault="00021C01" w:rsidP="00D315AC">
            <w:pPr>
              <w:spacing w:before="100" w:beforeAutospacing="1" w:after="100" w:afterAutospacing="1" w:line="230" w:lineRule="atLeast"/>
              <w:jc w:val="center"/>
            </w:pPr>
            <w:r w:rsidRPr="00E22258">
              <w:rPr>
                <w:caps/>
                <w:color w:val="000000"/>
              </w:rPr>
              <w:t>9,83</w:t>
            </w:r>
          </w:p>
        </w:tc>
      </w:tr>
      <w:tr w:rsidR="00021C01" w:rsidRPr="00E22258" w14:paraId="06D1456E" w14:textId="77777777" w:rsidTr="00D315AC">
        <w:trPr>
          <w:jc w:val="center"/>
        </w:trPr>
        <w:tc>
          <w:tcPr>
            <w:tcW w:w="29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639383" w14:textId="77777777" w:rsidR="00021C01" w:rsidRPr="00E22258" w:rsidRDefault="00021C01" w:rsidP="00D315AC">
            <w:pPr>
              <w:spacing w:before="100" w:beforeAutospacing="1" w:after="100" w:afterAutospacing="1" w:line="230" w:lineRule="atLeast"/>
            </w:pPr>
            <w:r w:rsidRPr="00E22258">
              <w:rPr>
                <w:caps/>
                <w:color w:val="000000"/>
              </w:rPr>
              <w:t>ARMAZENAGEM E MOVIMENTAÇÃO DE CARGAS (VEÍCULOS)</w:t>
            </w:r>
          </w:p>
        </w:tc>
        <w:tc>
          <w:tcPr>
            <w:tcW w:w="129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1EE0EE" w14:textId="77777777" w:rsidR="00021C01" w:rsidRPr="00E22258" w:rsidRDefault="00021C01" w:rsidP="00D315AC">
            <w:pPr>
              <w:spacing w:before="100" w:beforeAutospacing="1" w:after="100" w:afterAutospacing="1" w:line="230" w:lineRule="atLeast"/>
            </w:pPr>
            <w:r w:rsidRPr="00E22258">
              <w:rPr>
                <w:caps/>
                <w:color w:val="000000"/>
              </w:rPr>
              <w:t>UNIDADE/15 DIAS</w:t>
            </w:r>
          </w:p>
        </w:tc>
        <w:tc>
          <w:tcPr>
            <w:tcW w:w="805" w:type="pct"/>
            <w:tcBorders>
              <w:top w:val="nil"/>
              <w:left w:val="nil"/>
              <w:bottom w:val="single" w:sz="8" w:space="0" w:color="auto"/>
              <w:right w:val="single" w:sz="8" w:space="0" w:color="auto"/>
            </w:tcBorders>
            <w:tcMar>
              <w:top w:w="0" w:type="dxa"/>
              <w:left w:w="108" w:type="dxa"/>
              <w:bottom w:w="0" w:type="dxa"/>
              <w:right w:w="108" w:type="dxa"/>
            </w:tcMar>
            <w:hideMark/>
          </w:tcPr>
          <w:p w14:paraId="2AA7EA39" w14:textId="77777777" w:rsidR="00021C01" w:rsidRPr="00E22258" w:rsidRDefault="00021C01" w:rsidP="00D315AC">
            <w:pPr>
              <w:spacing w:before="100" w:beforeAutospacing="1" w:after="100" w:afterAutospacing="1" w:line="230" w:lineRule="atLeast"/>
              <w:jc w:val="center"/>
            </w:pPr>
            <w:r w:rsidRPr="00E22258">
              <w:rPr>
                <w:caps/>
                <w:color w:val="000000"/>
              </w:rPr>
              <w:t>421,11</w:t>
            </w:r>
          </w:p>
        </w:tc>
      </w:tr>
      <w:tr w:rsidR="00021C01" w:rsidRPr="00E22258" w14:paraId="375781E6" w14:textId="77777777" w:rsidTr="00D315AC">
        <w:trPr>
          <w:jc w:val="center"/>
        </w:trPr>
        <w:tc>
          <w:tcPr>
            <w:tcW w:w="29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6153B2" w14:textId="77777777" w:rsidR="00021C01" w:rsidRPr="00E22258" w:rsidRDefault="00021C01" w:rsidP="00D315AC">
            <w:pPr>
              <w:spacing w:before="100" w:beforeAutospacing="1" w:after="100" w:afterAutospacing="1" w:line="230" w:lineRule="atLeast"/>
            </w:pPr>
            <w:r w:rsidRPr="00E22258">
              <w:rPr>
                <w:caps/>
                <w:color w:val="000000"/>
              </w:rPr>
              <w:t>ARMAZENAGEM E MOVIMENTAÇÃO DE CARGAS (UTILIZAÇÃO DE EMPILHADEIRA - POR CONTÊINER OU CAMINHÃO)</w:t>
            </w:r>
          </w:p>
        </w:tc>
        <w:tc>
          <w:tcPr>
            <w:tcW w:w="129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D49920" w14:textId="77777777" w:rsidR="00021C01" w:rsidRPr="00E22258" w:rsidRDefault="00021C01" w:rsidP="00D315AC">
            <w:pPr>
              <w:spacing w:before="100" w:beforeAutospacing="1" w:after="100" w:afterAutospacing="1" w:line="230" w:lineRule="atLeast"/>
            </w:pPr>
            <w:r w:rsidRPr="00E22258">
              <w:rPr>
                <w:caps/>
                <w:color w:val="000000"/>
              </w:rPr>
              <w:t>POR CONTÊINER OU CAMINHÃO</w:t>
            </w:r>
          </w:p>
        </w:tc>
        <w:tc>
          <w:tcPr>
            <w:tcW w:w="805" w:type="pct"/>
            <w:tcBorders>
              <w:top w:val="nil"/>
              <w:left w:val="nil"/>
              <w:bottom w:val="single" w:sz="8" w:space="0" w:color="auto"/>
              <w:right w:val="single" w:sz="8" w:space="0" w:color="auto"/>
            </w:tcBorders>
            <w:tcMar>
              <w:top w:w="0" w:type="dxa"/>
              <w:left w:w="108" w:type="dxa"/>
              <w:bottom w:w="0" w:type="dxa"/>
              <w:right w:w="108" w:type="dxa"/>
            </w:tcMar>
            <w:hideMark/>
          </w:tcPr>
          <w:p w14:paraId="740322B5" w14:textId="77777777" w:rsidR="00021C01" w:rsidRPr="00E22258" w:rsidRDefault="00021C01" w:rsidP="00D315AC">
            <w:pPr>
              <w:spacing w:before="100" w:beforeAutospacing="1" w:after="100" w:afterAutospacing="1" w:line="230" w:lineRule="atLeast"/>
              <w:jc w:val="center"/>
            </w:pPr>
            <w:r w:rsidRPr="00E22258">
              <w:rPr>
                <w:caps/>
                <w:color w:val="000000"/>
              </w:rPr>
              <w:t>126,33</w:t>
            </w:r>
          </w:p>
        </w:tc>
      </w:tr>
      <w:tr w:rsidR="00021C01" w:rsidRPr="00E22258" w14:paraId="73D5F008" w14:textId="77777777" w:rsidTr="00D315AC">
        <w:trPr>
          <w:jc w:val="center"/>
        </w:trPr>
        <w:tc>
          <w:tcPr>
            <w:tcW w:w="29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1F300B" w14:textId="77777777" w:rsidR="00021C01" w:rsidRPr="00E22258" w:rsidRDefault="00021C01" w:rsidP="00D315AC">
            <w:pPr>
              <w:spacing w:before="100" w:beforeAutospacing="1" w:after="100" w:afterAutospacing="1" w:line="230" w:lineRule="atLeast"/>
            </w:pPr>
            <w:r w:rsidRPr="00E22258">
              <w:rPr>
                <w:caps/>
                <w:color w:val="000000"/>
              </w:rPr>
              <w:t>MOVIMENTAÇÃO INTERNA DE MERCADORIAS NOS ENTREPOSTOS (UTILIZAÇÃO DE EMPILHADEIRA POR HORA)</w:t>
            </w:r>
          </w:p>
        </w:tc>
        <w:tc>
          <w:tcPr>
            <w:tcW w:w="129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82E784" w14:textId="77777777" w:rsidR="00021C01" w:rsidRPr="00E22258" w:rsidRDefault="00021C01" w:rsidP="00D315AC">
            <w:pPr>
              <w:spacing w:before="100" w:beforeAutospacing="1" w:after="100" w:afterAutospacing="1" w:line="230" w:lineRule="atLeast"/>
            </w:pPr>
            <w:r w:rsidRPr="00E22258">
              <w:rPr>
                <w:caps/>
                <w:color w:val="000000"/>
              </w:rPr>
              <w:t>POR HORA</w:t>
            </w:r>
          </w:p>
        </w:tc>
        <w:tc>
          <w:tcPr>
            <w:tcW w:w="805" w:type="pct"/>
            <w:tcBorders>
              <w:top w:val="nil"/>
              <w:left w:val="nil"/>
              <w:bottom w:val="single" w:sz="8" w:space="0" w:color="auto"/>
              <w:right w:val="single" w:sz="8" w:space="0" w:color="auto"/>
            </w:tcBorders>
            <w:tcMar>
              <w:top w:w="0" w:type="dxa"/>
              <w:left w:w="108" w:type="dxa"/>
              <w:bottom w:w="0" w:type="dxa"/>
              <w:right w:w="108" w:type="dxa"/>
            </w:tcMar>
            <w:hideMark/>
          </w:tcPr>
          <w:p w14:paraId="0EF8A4C6" w14:textId="77777777" w:rsidR="00021C01" w:rsidRPr="00E22258" w:rsidRDefault="00021C01" w:rsidP="00D315AC">
            <w:pPr>
              <w:spacing w:before="100" w:beforeAutospacing="1" w:after="100" w:afterAutospacing="1" w:line="230" w:lineRule="atLeast"/>
              <w:jc w:val="center"/>
            </w:pPr>
            <w:r w:rsidRPr="00E22258">
              <w:rPr>
                <w:caps/>
                <w:color w:val="000000"/>
              </w:rPr>
              <w:t>98,26</w:t>
            </w:r>
          </w:p>
        </w:tc>
      </w:tr>
      <w:tr w:rsidR="00021C01" w:rsidRPr="00E22258" w14:paraId="6BF24CD5" w14:textId="77777777" w:rsidTr="00D315AC">
        <w:trPr>
          <w:jc w:val="center"/>
        </w:trPr>
        <w:tc>
          <w:tcPr>
            <w:tcW w:w="29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665445" w14:textId="77777777" w:rsidR="00021C01" w:rsidRPr="00E22258" w:rsidRDefault="00021C01" w:rsidP="00D315AC">
            <w:pPr>
              <w:spacing w:before="100" w:beforeAutospacing="1" w:after="100" w:afterAutospacing="1" w:line="230" w:lineRule="atLeast"/>
            </w:pPr>
            <w:r w:rsidRPr="00E22258">
              <w:rPr>
                <w:caps/>
                <w:color w:val="000000"/>
              </w:rPr>
              <w:t>MOVIMENTAÇÃO INTERNA DE MERCADORIAS NOS ENTREPOSTOS (SEPARADOR DE CARGA POR HORA)</w:t>
            </w:r>
          </w:p>
        </w:tc>
        <w:tc>
          <w:tcPr>
            <w:tcW w:w="129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BBD486" w14:textId="77777777" w:rsidR="00021C01" w:rsidRPr="00E22258" w:rsidRDefault="00021C01" w:rsidP="00D315AC">
            <w:pPr>
              <w:spacing w:before="100" w:beforeAutospacing="1" w:after="100" w:afterAutospacing="1" w:line="230" w:lineRule="atLeast"/>
            </w:pPr>
            <w:r w:rsidRPr="00E22258">
              <w:rPr>
                <w:caps/>
                <w:color w:val="000000"/>
              </w:rPr>
              <w:t>POR HORA</w:t>
            </w:r>
          </w:p>
        </w:tc>
        <w:tc>
          <w:tcPr>
            <w:tcW w:w="805" w:type="pct"/>
            <w:tcBorders>
              <w:top w:val="nil"/>
              <w:left w:val="nil"/>
              <w:bottom w:val="single" w:sz="8" w:space="0" w:color="auto"/>
              <w:right w:val="single" w:sz="8" w:space="0" w:color="auto"/>
            </w:tcBorders>
            <w:tcMar>
              <w:top w:w="0" w:type="dxa"/>
              <w:left w:w="108" w:type="dxa"/>
              <w:bottom w:w="0" w:type="dxa"/>
              <w:right w:w="108" w:type="dxa"/>
            </w:tcMar>
            <w:hideMark/>
          </w:tcPr>
          <w:p w14:paraId="29D50374" w14:textId="77777777" w:rsidR="00021C01" w:rsidRPr="00E22258" w:rsidRDefault="00021C01" w:rsidP="00D315AC">
            <w:pPr>
              <w:spacing w:before="100" w:beforeAutospacing="1" w:after="100" w:afterAutospacing="1" w:line="230" w:lineRule="atLeast"/>
              <w:jc w:val="center"/>
            </w:pPr>
            <w:r w:rsidRPr="00E22258">
              <w:rPr>
                <w:caps/>
                <w:color w:val="000000"/>
              </w:rPr>
              <w:t>16,84</w:t>
            </w:r>
          </w:p>
        </w:tc>
      </w:tr>
      <w:tr w:rsidR="00021C01" w:rsidRPr="00E22258" w14:paraId="05E80E83" w14:textId="77777777" w:rsidTr="00D315AC">
        <w:trPr>
          <w:jc w:val="center"/>
        </w:trPr>
        <w:tc>
          <w:tcPr>
            <w:tcW w:w="29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7A8376" w14:textId="77777777" w:rsidR="00021C01" w:rsidRPr="00E22258" w:rsidRDefault="00021C01" w:rsidP="00D315AC">
            <w:pPr>
              <w:spacing w:before="100" w:beforeAutospacing="1" w:after="100" w:afterAutospacing="1" w:line="230" w:lineRule="atLeast"/>
            </w:pPr>
            <w:r w:rsidRPr="00E22258">
              <w:rPr>
                <w:caps/>
                <w:color w:val="000000"/>
              </w:rPr>
              <w:t>UNITIZAÇÃO E DESUNITIZAÇÃO DE CONTÊINERES</w:t>
            </w:r>
          </w:p>
        </w:tc>
        <w:tc>
          <w:tcPr>
            <w:tcW w:w="129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1217E9" w14:textId="77777777" w:rsidR="00021C01" w:rsidRPr="00E22258" w:rsidRDefault="00021C01" w:rsidP="00D315AC">
            <w:pPr>
              <w:spacing w:before="100" w:beforeAutospacing="1" w:after="100" w:afterAutospacing="1" w:line="230" w:lineRule="atLeast"/>
            </w:pPr>
            <w:r w:rsidRPr="00E22258">
              <w:rPr>
                <w:caps/>
                <w:color w:val="000000"/>
              </w:rPr>
              <w:t>POR CONTÊINER DE 20 PÉS</w:t>
            </w:r>
          </w:p>
        </w:tc>
        <w:tc>
          <w:tcPr>
            <w:tcW w:w="805" w:type="pct"/>
            <w:tcBorders>
              <w:top w:val="nil"/>
              <w:left w:val="nil"/>
              <w:bottom w:val="single" w:sz="8" w:space="0" w:color="auto"/>
              <w:right w:val="single" w:sz="8" w:space="0" w:color="auto"/>
            </w:tcBorders>
            <w:tcMar>
              <w:top w:w="0" w:type="dxa"/>
              <w:left w:w="108" w:type="dxa"/>
              <w:bottom w:w="0" w:type="dxa"/>
              <w:right w:w="108" w:type="dxa"/>
            </w:tcMar>
            <w:hideMark/>
          </w:tcPr>
          <w:p w14:paraId="5D2C41E0" w14:textId="77777777" w:rsidR="00021C01" w:rsidRPr="00E22258" w:rsidRDefault="00021C01" w:rsidP="00D315AC">
            <w:pPr>
              <w:spacing w:before="100" w:beforeAutospacing="1" w:after="100" w:afterAutospacing="1" w:line="230" w:lineRule="atLeast"/>
              <w:jc w:val="center"/>
            </w:pPr>
            <w:r w:rsidRPr="00E22258">
              <w:rPr>
                <w:caps/>
                <w:color w:val="000000"/>
              </w:rPr>
              <w:t>533,40</w:t>
            </w:r>
          </w:p>
        </w:tc>
      </w:tr>
      <w:tr w:rsidR="00021C01" w:rsidRPr="00E22258" w14:paraId="4537CF99" w14:textId="77777777" w:rsidTr="00D315AC">
        <w:trPr>
          <w:jc w:val="center"/>
        </w:trPr>
        <w:tc>
          <w:tcPr>
            <w:tcW w:w="29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816CCA" w14:textId="77777777" w:rsidR="00021C01" w:rsidRPr="00E22258" w:rsidRDefault="00021C01" w:rsidP="00D315AC">
            <w:pPr>
              <w:spacing w:before="100" w:beforeAutospacing="1" w:after="100" w:afterAutospacing="1" w:line="230" w:lineRule="atLeast"/>
            </w:pPr>
            <w:r w:rsidRPr="00E22258">
              <w:rPr>
                <w:caps/>
                <w:color w:val="000000"/>
              </w:rPr>
              <w:t>UNITIZAÇÃO E DESUNITIZAÇÃO DE CONTÊINERES</w:t>
            </w:r>
          </w:p>
        </w:tc>
        <w:tc>
          <w:tcPr>
            <w:tcW w:w="129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3759E0" w14:textId="77777777" w:rsidR="00021C01" w:rsidRPr="00E22258" w:rsidRDefault="00021C01" w:rsidP="00D315AC">
            <w:pPr>
              <w:spacing w:before="100" w:beforeAutospacing="1" w:after="100" w:afterAutospacing="1" w:line="230" w:lineRule="atLeast"/>
            </w:pPr>
            <w:r w:rsidRPr="00E22258">
              <w:rPr>
                <w:caps/>
                <w:color w:val="000000"/>
              </w:rPr>
              <w:t>POR CONTÊINER DE 40 PÉS</w:t>
            </w:r>
          </w:p>
        </w:tc>
        <w:tc>
          <w:tcPr>
            <w:tcW w:w="805" w:type="pct"/>
            <w:tcBorders>
              <w:top w:val="nil"/>
              <w:left w:val="nil"/>
              <w:bottom w:val="single" w:sz="8" w:space="0" w:color="auto"/>
              <w:right w:val="single" w:sz="8" w:space="0" w:color="auto"/>
            </w:tcBorders>
            <w:tcMar>
              <w:top w:w="0" w:type="dxa"/>
              <w:left w:w="108" w:type="dxa"/>
              <w:bottom w:w="0" w:type="dxa"/>
              <w:right w:w="108" w:type="dxa"/>
            </w:tcMar>
            <w:hideMark/>
          </w:tcPr>
          <w:p w14:paraId="287FADB5" w14:textId="77777777" w:rsidR="00021C01" w:rsidRPr="00E22258" w:rsidRDefault="00021C01" w:rsidP="00D315AC">
            <w:pPr>
              <w:spacing w:before="100" w:beforeAutospacing="1" w:after="100" w:afterAutospacing="1" w:line="230" w:lineRule="atLeast"/>
              <w:jc w:val="center"/>
            </w:pPr>
            <w:r w:rsidRPr="00E22258">
              <w:rPr>
                <w:caps/>
                <w:color w:val="000000"/>
              </w:rPr>
              <w:t>617,62</w:t>
            </w:r>
          </w:p>
        </w:tc>
      </w:tr>
    </w:tbl>
    <w:p w14:paraId="5ED5BC45" w14:textId="77777777" w:rsidR="0018187C" w:rsidRPr="00E22258" w:rsidRDefault="0018187C" w:rsidP="0018187C">
      <w:pPr>
        <w:pStyle w:val="05-Pargrafodetexto-CLG"/>
        <w:rPr>
          <w:sz w:val="27"/>
          <w:szCs w:val="27"/>
        </w:rPr>
      </w:pPr>
    </w:p>
    <w:p w14:paraId="48A484B3" w14:textId="4B3FD09F" w:rsidR="00A85ECB" w:rsidRDefault="00C218D0" w:rsidP="00A85ECB">
      <w:pPr>
        <w:pStyle w:val="09-Local-CLG"/>
      </w:pPr>
      <w:r w:rsidRPr="00E22258">
        <w:t>Sala da Comissão,</w:t>
      </w:r>
      <w:r w:rsidR="007F2E27">
        <w:t xml:space="preserve"> 09/05/2017</w:t>
      </w:r>
    </w:p>
    <w:p w14:paraId="346F3296" w14:textId="77777777" w:rsidR="007F2E27" w:rsidRDefault="007F2E27" w:rsidP="007F2E27">
      <w:pPr>
        <w:pStyle w:val="09-Local-CLG"/>
        <w:spacing w:before="0"/>
        <w:ind w:firstLine="0"/>
        <w:jc w:val="center"/>
      </w:pPr>
    </w:p>
    <w:p w14:paraId="1A29A8DC" w14:textId="118BEA58" w:rsidR="007F2E27" w:rsidRDefault="007F2E27" w:rsidP="007F2E27">
      <w:pPr>
        <w:pStyle w:val="09-Local-CLG"/>
        <w:spacing w:before="0"/>
        <w:ind w:firstLine="0"/>
        <w:jc w:val="center"/>
      </w:pPr>
      <w:r>
        <w:t>Deputada Maria Helena</w:t>
      </w:r>
    </w:p>
    <w:p w14:paraId="7A405864" w14:textId="3FA9E8BE" w:rsidR="007F2E27" w:rsidRPr="00E22258" w:rsidRDefault="007F2E27" w:rsidP="007F2E27">
      <w:pPr>
        <w:pStyle w:val="09-Local-CLG"/>
        <w:spacing w:before="0" w:line="276" w:lineRule="auto"/>
        <w:ind w:firstLine="0"/>
        <w:jc w:val="center"/>
      </w:pPr>
      <w:r>
        <w:t>Presidente</w:t>
      </w:r>
    </w:p>
    <w:sectPr w:rsidR="007F2E27" w:rsidRPr="00E22258" w:rsidSect="00E22258">
      <w:headerReference w:type="even" r:id="rId7"/>
      <w:headerReference w:type="default" r:id="rId8"/>
      <w:footerReference w:type="first" r:id="rId9"/>
      <w:pgSz w:w="11906" w:h="16838"/>
      <w:pgMar w:top="2836"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93D1DF" w14:textId="77777777" w:rsidR="001135A5" w:rsidRDefault="001135A5" w:rsidP="00A85ECB">
      <w:pPr>
        <w:spacing w:after="0" w:line="240" w:lineRule="auto"/>
      </w:pPr>
      <w:r>
        <w:separator/>
      </w:r>
    </w:p>
  </w:endnote>
  <w:endnote w:type="continuationSeparator" w:id="0">
    <w:p w14:paraId="77FB48B7" w14:textId="77777777" w:rsidR="001135A5" w:rsidRDefault="001135A5" w:rsidP="00A85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EC8C45" w14:textId="77777777" w:rsidR="00D11C2C" w:rsidRPr="00342E7D" w:rsidRDefault="00385A9D">
    <w:pPr>
      <w:pStyle w:val="Rodap"/>
      <w:rPr>
        <w:i/>
        <w:sz w:val="18"/>
        <w:szCs w:val="18"/>
      </w:rPr>
    </w:pPr>
    <w:r w:rsidRPr="00342E7D">
      <w:rPr>
        <w:i/>
        <w:sz w:val="18"/>
        <w:szCs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149430" w14:textId="77777777" w:rsidR="001135A5" w:rsidRDefault="001135A5" w:rsidP="00A85ECB">
      <w:pPr>
        <w:spacing w:after="0" w:line="240" w:lineRule="auto"/>
      </w:pPr>
      <w:r>
        <w:separator/>
      </w:r>
    </w:p>
  </w:footnote>
  <w:footnote w:type="continuationSeparator" w:id="0">
    <w:p w14:paraId="5A30C8A6" w14:textId="77777777" w:rsidR="001135A5" w:rsidRDefault="001135A5" w:rsidP="00A85E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065771" w14:textId="77777777" w:rsidR="00D11C2C" w:rsidRDefault="00F27B90" w:rsidP="00A85ECB">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65575A7" w14:textId="77777777" w:rsidR="00D11C2C" w:rsidRDefault="002E4026">
    <w:pPr>
      <w:pStyle w:val="Cabealho"/>
      <w:ind w:right="360"/>
    </w:pPr>
  </w:p>
  <w:p w14:paraId="178F34DA" w14:textId="77777777" w:rsidR="00D11C2C" w:rsidRDefault="002E402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748F1C" w14:textId="77777777" w:rsidR="00D11C2C" w:rsidRDefault="00F27B90" w:rsidP="00A85ECB">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2E4026">
      <w:rPr>
        <w:rStyle w:val="Nmerodepgina"/>
        <w:noProof/>
      </w:rPr>
      <w:t>9</w:t>
    </w:r>
    <w:r>
      <w:rPr>
        <w:rStyle w:val="Nmerodepgina"/>
      </w:rPr>
      <w:fldChar w:fldCharType="end"/>
    </w:r>
  </w:p>
  <w:p w14:paraId="18A2FA5E" w14:textId="77777777" w:rsidR="00D11C2C" w:rsidRDefault="002E4026">
    <w:pPr>
      <w:pStyle w:val="Cabealho"/>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ECB"/>
    <w:rsid w:val="000214C0"/>
    <w:rsid w:val="00021C01"/>
    <w:rsid w:val="0003485E"/>
    <w:rsid w:val="00052237"/>
    <w:rsid w:val="0005330F"/>
    <w:rsid w:val="00055CBB"/>
    <w:rsid w:val="00060492"/>
    <w:rsid w:val="00071EDE"/>
    <w:rsid w:val="0007300D"/>
    <w:rsid w:val="0007646C"/>
    <w:rsid w:val="000A5211"/>
    <w:rsid w:val="000A661D"/>
    <w:rsid w:val="000B7D6B"/>
    <w:rsid w:val="000F75F4"/>
    <w:rsid w:val="00102CC9"/>
    <w:rsid w:val="001135A5"/>
    <w:rsid w:val="001234EB"/>
    <w:rsid w:val="0014058C"/>
    <w:rsid w:val="00142D55"/>
    <w:rsid w:val="00144B06"/>
    <w:rsid w:val="001608D6"/>
    <w:rsid w:val="00177AF5"/>
    <w:rsid w:val="0018187C"/>
    <w:rsid w:val="0019646D"/>
    <w:rsid w:val="001A41B4"/>
    <w:rsid w:val="001D129B"/>
    <w:rsid w:val="001D33F7"/>
    <w:rsid w:val="001D754B"/>
    <w:rsid w:val="001E1111"/>
    <w:rsid w:val="001E656D"/>
    <w:rsid w:val="001F7438"/>
    <w:rsid w:val="002029DB"/>
    <w:rsid w:val="00216205"/>
    <w:rsid w:val="00256E7F"/>
    <w:rsid w:val="0027324F"/>
    <w:rsid w:val="0027641C"/>
    <w:rsid w:val="00277ABD"/>
    <w:rsid w:val="0028204F"/>
    <w:rsid w:val="002A1DEC"/>
    <w:rsid w:val="002A2925"/>
    <w:rsid w:val="002B1ABF"/>
    <w:rsid w:val="002C22A7"/>
    <w:rsid w:val="002E4026"/>
    <w:rsid w:val="002F08FB"/>
    <w:rsid w:val="00321300"/>
    <w:rsid w:val="00385A9D"/>
    <w:rsid w:val="003B6BA9"/>
    <w:rsid w:val="003C5949"/>
    <w:rsid w:val="003F695A"/>
    <w:rsid w:val="00423901"/>
    <w:rsid w:val="00424909"/>
    <w:rsid w:val="004254A4"/>
    <w:rsid w:val="004277ED"/>
    <w:rsid w:val="00430A41"/>
    <w:rsid w:val="00465AFA"/>
    <w:rsid w:val="00475DFC"/>
    <w:rsid w:val="0048265E"/>
    <w:rsid w:val="00491575"/>
    <w:rsid w:val="004D018D"/>
    <w:rsid w:val="004D4188"/>
    <w:rsid w:val="004D7421"/>
    <w:rsid w:val="0050661C"/>
    <w:rsid w:val="005079CB"/>
    <w:rsid w:val="00531F30"/>
    <w:rsid w:val="005427DE"/>
    <w:rsid w:val="0055336D"/>
    <w:rsid w:val="00570A3D"/>
    <w:rsid w:val="005805C4"/>
    <w:rsid w:val="0059261C"/>
    <w:rsid w:val="0059291D"/>
    <w:rsid w:val="00592CF1"/>
    <w:rsid w:val="005C0FDC"/>
    <w:rsid w:val="005D61ED"/>
    <w:rsid w:val="005F1BC6"/>
    <w:rsid w:val="005F66EF"/>
    <w:rsid w:val="00636C66"/>
    <w:rsid w:val="00666B40"/>
    <w:rsid w:val="00677E5A"/>
    <w:rsid w:val="006A5F12"/>
    <w:rsid w:val="006B1BDB"/>
    <w:rsid w:val="006B2AD4"/>
    <w:rsid w:val="006E5AF3"/>
    <w:rsid w:val="00714D10"/>
    <w:rsid w:val="007422CE"/>
    <w:rsid w:val="00786E12"/>
    <w:rsid w:val="007871CE"/>
    <w:rsid w:val="0079479D"/>
    <w:rsid w:val="00796409"/>
    <w:rsid w:val="007B39D4"/>
    <w:rsid w:val="007B7E83"/>
    <w:rsid w:val="007C4C2A"/>
    <w:rsid w:val="007D0319"/>
    <w:rsid w:val="007F2E27"/>
    <w:rsid w:val="007F3AC4"/>
    <w:rsid w:val="007F6C25"/>
    <w:rsid w:val="0080047A"/>
    <w:rsid w:val="00800E94"/>
    <w:rsid w:val="00806347"/>
    <w:rsid w:val="00806494"/>
    <w:rsid w:val="00857A90"/>
    <w:rsid w:val="008707F5"/>
    <w:rsid w:val="00880FE1"/>
    <w:rsid w:val="008950DC"/>
    <w:rsid w:val="008B0D91"/>
    <w:rsid w:val="008D22A3"/>
    <w:rsid w:val="008D33A0"/>
    <w:rsid w:val="008E12C5"/>
    <w:rsid w:val="008F4D4A"/>
    <w:rsid w:val="00916F54"/>
    <w:rsid w:val="009447F7"/>
    <w:rsid w:val="00957CF0"/>
    <w:rsid w:val="009759C0"/>
    <w:rsid w:val="00991D7A"/>
    <w:rsid w:val="009E1F0A"/>
    <w:rsid w:val="00A03897"/>
    <w:rsid w:val="00A070DD"/>
    <w:rsid w:val="00A07C01"/>
    <w:rsid w:val="00A34674"/>
    <w:rsid w:val="00A50FE0"/>
    <w:rsid w:val="00A618DF"/>
    <w:rsid w:val="00A666B1"/>
    <w:rsid w:val="00A77099"/>
    <w:rsid w:val="00A85ECB"/>
    <w:rsid w:val="00AD17F6"/>
    <w:rsid w:val="00B00887"/>
    <w:rsid w:val="00B26EDC"/>
    <w:rsid w:val="00B317E6"/>
    <w:rsid w:val="00B44A19"/>
    <w:rsid w:val="00B5322A"/>
    <w:rsid w:val="00B62760"/>
    <w:rsid w:val="00B63A66"/>
    <w:rsid w:val="00B7681F"/>
    <w:rsid w:val="00BA73BF"/>
    <w:rsid w:val="00BB10CC"/>
    <w:rsid w:val="00C218D0"/>
    <w:rsid w:val="00C309FA"/>
    <w:rsid w:val="00C445DE"/>
    <w:rsid w:val="00C54477"/>
    <w:rsid w:val="00C75701"/>
    <w:rsid w:val="00C76BE1"/>
    <w:rsid w:val="00C95BC4"/>
    <w:rsid w:val="00CB0E4E"/>
    <w:rsid w:val="00CB54D1"/>
    <w:rsid w:val="00CC4B6B"/>
    <w:rsid w:val="00CE7234"/>
    <w:rsid w:val="00D06EC4"/>
    <w:rsid w:val="00D16FFC"/>
    <w:rsid w:val="00D20B94"/>
    <w:rsid w:val="00D224C1"/>
    <w:rsid w:val="00D36F7C"/>
    <w:rsid w:val="00D61459"/>
    <w:rsid w:val="00DB4C44"/>
    <w:rsid w:val="00DF3C12"/>
    <w:rsid w:val="00E22258"/>
    <w:rsid w:val="00E241F7"/>
    <w:rsid w:val="00E246D1"/>
    <w:rsid w:val="00E35E9C"/>
    <w:rsid w:val="00E375A0"/>
    <w:rsid w:val="00E56D8C"/>
    <w:rsid w:val="00EA029E"/>
    <w:rsid w:val="00EA31AB"/>
    <w:rsid w:val="00EB0560"/>
    <w:rsid w:val="00EB07F7"/>
    <w:rsid w:val="00EC05B2"/>
    <w:rsid w:val="00ED38EE"/>
    <w:rsid w:val="00ED62DE"/>
    <w:rsid w:val="00EE7260"/>
    <w:rsid w:val="00F27B90"/>
    <w:rsid w:val="00F33A29"/>
    <w:rsid w:val="00F34080"/>
    <w:rsid w:val="00F56077"/>
    <w:rsid w:val="00F64358"/>
    <w:rsid w:val="00F6791D"/>
    <w:rsid w:val="00FA009E"/>
    <w:rsid w:val="00FA22FA"/>
    <w:rsid w:val="00FA4646"/>
    <w:rsid w:val="00FA5E77"/>
    <w:rsid w:val="00FD1A2B"/>
    <w:rsid w:val="00FD6CF4"/>
    <w:rsid w:val="00FE762A"/>
    <w:rsid w:val="00FF74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5E5B8"/>
  <w15:docId w15:val="{3FBB5957-501C-46DF-9203-79CE085DC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nhideWhenUsed/>
    <w:qFormat/>
    <w:rsid w:val="00071EDE"/>
  </w:style>
  <w:style w:type="paragraph" w:styleId="Ttulo1">
    <w:name w:val="heading 1"/>
    <w:basedOn w:val="Normal"/>
    <w:next w:val="Normal"/>
    <w:link w:val="Ttulo1Char"/>
    <w:uiPriority w:val="9"/>
    <w:unhideWhenUsed/>
    <w:rsid w:val="002820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A85ECB"/>
    <w:pPr>
      <w:tabs>
        <w:tab w:val="center" w:pos="4419"/>
        <w:tab w:val="right" w:pos="8838"/>
      </w:tabs>
      <w:spacing w:after="0" w:line="240" w:lineRule="auto"/>
    </w:pPr>
    <w:rPr>
      <w:rFonts w:ascii="Times New Roman" w:eastAsia="Times New Roman" w:hAnsi="Times New Roman" w:cs="Times New Roman"/>
      <w:sz w:val="24"/>
      <w:szCs w:val="24"/>
      <w:lang w:eastAsia="pt-BR"/>
    </w:rPr>
  </w:style>
  <w:style w:type="character" w:customStyle="1" w:styleId="CabealhoChar">
    <w:name w:val="Cabeçalho Char"/>
    <w:basedOn w:val="Fontepargpadro"/>
    <w:link w:val="Cabealho"/>
    <w:rsid w:val="00071EDE"/>
    <w:rPr>
      <w:rFonts w:ascii="Times New Roman" w:eastAsia="Times New Roman" w:hAnsi="Times New Roman" w:cs="Times New Roman"/>
      <w:sz w:val="24"/>
      <w:szCs w:val="24"/>
      <w:lang w:eastAsia="pt-BR"/>
    </w:rPr>
  </w:style>
  <w:style w:type="paragraph" w:styleId="Rodap">
    <w:name w:val="footer"/>
    <w:basedOn w:val="Normal"/>
    <w:link w:val="RodapChar"/>
    <w:unhideWhenUsed/>
    <w:rsid w:val="00A85ECB"/>
    <w:pPr>
      <w:tabs>
        <w:tab w:val="center" w:pos="4419"/>
        <w:tab w:val="right" w:pos="8838"/>
      </w:tabs>
      <w:spacing w:after="0" w:line="240" w:lineRule="auto"/>
    </w:pPr>
    <w:rPr>
      <w:rFonts w:ascii="Times New Roman" w:eastAsia="Times New Roman" w:hAnsi="Times New Roman" w:cs="Times New Roman"/>
      <w:sz w:val="24"/>
      <w:szCs w:val="24"/>
      <w:lang w:eastAsia="pt-BR"/>
    </w:rPr>
  </w:style>
  <w:style w:type="character" w:customStyle="1" w:styleId="RodapChar">
    <w:name w:val="Rodapé Char"/>
    <w:basedOn w:val="Fontepargpadro"/>
    <w:link w:val="Rodap"/>
    <w:rsid w:val="00071EDE"/>
    <w:rPr>
      <w:rFonts w:ascii="Times New Roman" w:eastAsia="Times New Roman" w:hAnsi="Times New Roman" w:cs="Times New Roman"/>
      <w:sz w:val="24"/>
      <w:szCs w:val="24"/>
      <w:lang w:eastAsia="pt-BR"/>
    </w:rPr>
  </w:style>
  <w:style w:type="character" w:styleId="Nmerodepgina">
    <w:name w:val="page number"/>
    <w:basedOn w:val="Fontepargpadro"/>
    <w:unhideWhenUsed/>
    <w:rsid w:val="00A85ECB"/>
  </w:style>
  <w:style w:type="paragraph" w:customStyle="1" w:styleId="01-Minuta-CLG">
    <w:name w:val="01 - Minuta - CLG"/>
    <w:link w:val="01-Minuta-CLGChar"/>
    <w:rsid w:val="00A85ECB"/>
    <w:pPr>
      <w:spacing w:after="180" w:line="240" w:lineRule="auto"/>
      <w:jc w:val="center"/>
    </w:pPr>
    <w:rPr>
      <w:rFonts w:ascii="Times New Roman" w:eastAsia="Times New Roman" w:hAnsi="Times New Roman" w:cs="Times New Roman"/>
      <w:sz w:val="24"/>
      <w:szCs w:val="20"/>
      <w:lang w:eastAsia="pt-BR"/>
    </w:rPr>
  </w:style>
  <w:style w:type="paragraph" w:customStyle="1" w:styleId="02-TtuloPrincipal-CLG">
    <w:name w:val="02 - Título Principal - CLG"/>
    <w:link w:val="02-TtuloPrincipal-CLGChar"/>
    <w:rsid w:val="00A85ECB"/>
    <w:pPr>
      <w:spacing w:after="960" w:line="240" w:lineRule="auto"/>
      <w:jc w:val="center"/>
    </w:pPr>
    <w:rPr>
      <w:rFonts w:ascii="Times New Roman" w:eastAsia="Times New Roman" w:hAnsi="Times New Roman" w:cs="Times New Roman"/>
      <w:b/>
      <w:bCs/>
      <w:sz w:val="32"/>
      <w:szCs w:val="20"/>
      <w:lang w:eastAsia="pt-BR"/>
    </w:rPr>
  </w:style>
  <w:style w:type="paragraph" w:customStyle="1" w:styleId="03-Ementa-CLG">
    <w:name w:val="03 - Ementa - CLG"/>
    <w:link w:val="03-Ementa-CLGCharChar"/>
    <w:rsid w:val="00A85ECB"/>
    <w:pPr>
      <w:spacing w:after="960" w:line="240" w:lineRule="auto"/>
      <w:ind w:left="3686"/>
      <w:jc w:val="both"/>
    </w:pPr>
    <w:rPr>
      <w:rFonts w:ascii="Times New Roman" w:eastAsia="Arial Unicode MS" w:hAnsi="Times New Roman" w:cs="Times New Roman"/>
      <w:sz w:val="24"/>
      <w:szCs w:val="24"/>
      <w:lang w:eastAsia="pt-BR"/>
    </w:rPr>
  </w:style>
  <w:style w:type="character" w:customStyle="1" w:styleId="03-Ementa-CLGCharChar">
    <w:name w:val="03 - Ementa - CLG Char Char"/>
    <w:basedOn w:val="Fontepargpadro"/>
    <w:link w:val="03-Ementa-CLG"/>
    <w:rsid w:val="00A85ECB"/>
    <w:rPr>
      <w:rFonts w:ascii="Times New Roman" w:eastAsia="Arial Unicode MS" w:hAnsi="Times New Roman" w:cs="Times New Roman"/>
      <w:sz w:val="24"/>
      <w:szCs w:val="24"/>
      <w:lang w:eastAsia="pt-BR"/>
    </w:rPr>
  </w:style>
  <w:style w:type="paragraph" w:customStyle="1" w:styleId="10-IdentificaoParlamentar-CLG">
    <w:name w:val="10 - Identificação Parlamentar - CLG"/>
    <w:link w:val="10-IdentificaoParlamentar-CLGChar"/>
    <w:rsid w:val="00423901"/>
    <w:pPr>
      <w:spacing w:after="0" w:line="360" w:lineRule="auto"/>
      <w:ind w:left="3402"/>
    </w:pPr>
    <w:rPr>
      <w:rFonts w:ascii="Times New Roman" w:eastAsia="Times New Roman" w:hAnsi="Times New Roman" w:cs="Times New Roman"/>
      <w:color w:val="000000"/>
      <w:sz w:val="28"/>
      <w:szCs w:val="9"/>
      <w:lang w:eastAsia="pt-BR"/>
    </w:rPr>
  </w:style>
  <w:style w:type="paragraph" w:customStyle="1" w:styleId="04-Subttulo-CLG">
    <w:name w:val="04 - Subtítulo - CLG"/>
    <w:next w:val="05-Pargrafodetexto-CLG"/>
    <w:link w:val="04-Subttulo-CLGChar"/>
    <w:qFormat/>
    <w:rsid w:val="00071EDE"/>
    <w:pPr>
      <w:keepNext/>
      <w:keepLines/>
      <w:spacing w:after="480" w:line="240" w:lineRule="auto"/>
      <w:jc w:val="both"/>
    </w:pPr>
    <w:rPr>
      <w:rFonts w:ascii="Times New Roman" w:eastAsia="Times New Roman" w:hAnsi="Times New Roman" w:cs="Times New Roman"/>
      <w:b/>
      <w:bCs/>
      <w:sz w:val="28"/>
      <w:szCs w:val="20"/>
      <w:lang w:eastAsia="pt-BR"/>
    </w:rPr>
  </w:style>
  <w:style w:type="paragraph" w:customStyle="1" w:styleId="05-Pargrafodetexto-CLG">
    <w:name w:val="05 - Parágrafo de texto - CLG"/>
    <w:link w:val="05-Pargrafodetexto-CLGChar"/>
    <w:qFormat/>
    <w:rsid w:val="00A85ECB"/>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1-Minuta-CLGChar">
    <w:name w:val="01 - Minuta - CLG Char"/>
    <w:basedOn w:val="Fontepargpadro"/>
    <w:link w:val="01-Minuta-CLG"/>
    <w:rsid w:val="00A85ECB"/>
    <w:rPr>
      <w:rFonts w:ascii="Times New Roman" w:eastAsia="Times New Roman" w:hAnsi="Times New Roman" w:cs="Times New Roman"/>
      <w:sz w:val="24"/>
      <w:szCs w:val="20"/>
      <w:lang w:eastAsia="pt-BR"/>
    </w:rPr>
  </w:style>
  <w:style w:type="paragraph" w:customStyle="1" w:styleId="09-Local-CLG">
    <w:name w:val="09 - Local - CLG"/>
    <w:link w:val="09-Local-CLGChar"/>
    <w:rsid w:val="00A85ECB"/>
    <w:pPr>
      <w:spacing w:before="960" w:after="720" w:line="240" w:lineRule="auto"/>
      <w:ind w:firstLine="2520"/>
      <w:jc w:val="both"/>
    </w:pPr>
    <w:rPr>
      <w:rFonts w:ascii="Times New Roman" w:eastAsia="Times New Roman" w:hAnsi="Times New Roman" w:cs="Times New Roman"/>
      <w:sz w:val="28"/>
      <w:szCs w:val="20"/>
      <w:lang w:eastAsia="pt-BR"/>
    </w:rPr>
  </w:style>
  <w:style w:type="character" w:customStyle="1" w:styleId="02-TtuloPrincipal-CLGChar">
    <w:name w:val="02 - Título Principal - CLG Char"/>
    <w:basedOn w:val="Fontepargpadro"/>
    <w:link w:val="02-TtuloPrincipal-CLG"/>
    <w:rsid w:val="00A85ECB"/>
    <w:rPr>
      <w:rFonts w:ascii="Times New Roman" w:eastAsia="Times New Roman" w:hAnsi="Times New Roman" w:cs="Times New Roman"/>
      <w:b/>
      <w:bCs/>
      <w:sz w:val="32"/>
      <w:szCs w:val="20"/>
      <w:lang w:eastAsia="pt-BR"/>
    </w:rPr>
  </w:style>
  <w:style w:type="character" w:customStyle="1" w:styleId="10-IdentificaoParlamentar-CLGChar">
    <w:name w:val="10 - Identificação Parlamentar - CLG Char"/>
    <w:basedOn w:val="Fontepargpadro"/>
    <w:link w:val="10-IdentificaoParlamentar-CLG"/>
    <w:rsid w:val="00423901"/>
    <w:rPr>
      <w:rFonts w:ascii="Times New Roman" w:eastAsia="Times New Roman" w:hAnsi="Times New Roman" w:cs="Times New Roman"/>
      <w:color w:val="000000"/>
      <w:sz w:val="28"/>
      <w:szCs w:val="9"/>
      <w:lang w:eastAsia="pt-BR"/>
    </w:rPr>
  </w:style>
  <w:style w:type="character" w:customStyle="1" w:styleId="04-Subttulo-CLGChar">
    <w:name w:val="04 - Subtítulo - CLG Char"/>
    <w:basedOn w:val="Fontepargpadro"/>
    <w:link w:val="04-Subttulo-CLG"/>
    <w:rsid w:val="00071EDE"/>
    <w:rPr>
      <w:rFonts w:ascii="Times New Roman" w:eastAsia="Times New Roman" w:hAnsi="Times New Roman" w:cs="Times New Roman"/>
      <w:b/>
      <w:bCs/>
      <w:sz w:val="28"/>
      <w:szCs w:val="20"/>
      <w:lang w:eastAsia="pt-BR"/>
    </w:rPr>
  </w:style>
  <w:style w:type="character" w:customStyle="1" w:styleId="05-Pargrafodetexto-CLGChar">
    <w:name w:val="05 - Parágrafo de texto - CLG Char"/>
    <w:basedOn w:val="Fontepargpadro"/>
    <w:link w:val="05-Pargrafodetexto-CLG"/>
    <w:rsid w:val="00A85ECB"/>
    <w:rPr>
      <w:rFonts w:ascii="Times New Roman" w:eastAsia="Times New Roman" w:hAnsi="Times New Roman" w:cs="Times New Roman"/>
      <w:sz w:val="28"/>
      <w:szCs w:val="20"/>
      <w:lang w:eastAsia="pt-BR"/>
    </w:rPr>
  </w:style>
  <w:style w:type="character" w:customStyle="1" w:styleId="09-Local-CLGChar">
    <w:name w:val="09 - Local - CLG Char"/>
    <w:basedOn w:val="Fontepargpadro"/>
    <w:link w:val="09-Local-CLG"/>
    <w:rsid w:val="00A85ECB"/>
    <w:rPr>
      <w:rFonts w:ascii="Times New Roman" w:eastAsia="Times New Roman" w:hAnsi="Times New Roman" w:cs="Times New Roman"/>
      <w:sz w:val="28"/>
      <w:szCs w:val="20"/>
      <w:lang w:eastAsia="pt-BR"/>
    </w:rPr>
  </w:style>
  <w:style w:type="paragraph" w:customStyle="1" w:styleId="06-Citaolegal-CLG">
    <w:name w:val="06 - Citação legal - CLG"/>
    <w:qFormat/>
    <w:rsid w:val="00A85ECB"/>
    <w:pPr>
      <w:spacing w:after="120" w:line="240" w:lineRule="auto"/>
      <w:ind w:left="1985" w:firstLine="567"/>
      <w:jc w:val="both"/>
    </w:pPr>
    <w:rPr>
      <w:rFonts w:ascii="Times New Roman" w:eastAsia="Times New Roman" w:hAnsi="Times New Roman" w:cs="Times New Roman"/>
      <w:bCs/>
      <w:sz w:val="24"/>
      <w:szCs w:val="20"/>
      <w:lang w:eastAsia="pt-BR"/>
    </w:rPr>
  </w:style>
  <w:style w:type="paragraph" w:customStyle="1" w:styleId="07-Citaolegal-ltimalinha-CLG">
    <w:name w:val="07 - Citação legal - última linha - CLG"/>
    <w:qFormat/>
    <w:rsid w:val="00A85ECB"/>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08-Ttuloemenda-CLG">
    <w:name w:val="08 - Título emenda - CLG"/>
    <w:next w:val="05-Pargrafodetexto-CLG"/>
    <w:qFormat/>
    <w:rsid w:val="00EA31AB"/>
    <w:pPr>
      <w:keepNext/>
      <w:keepLines/>
      <w:spacing w:before="480" w:after="360" w:line="240" w:lineRule="auto"/>
      <w:jc w:val="center"/>
    </w:pPr>
    <w:rPr>
      <w:rFonts w:ascii="Times New Roman" w:eastAsia="Times New Roman" w:hAnsi="Times New Roman" w:cs="Times New Roman"/>
      <w:b/>
      <w:bCs/>
      <w:spacing w:val="-4"/>
      <w:sz w:val="28"/>
      <w:szCs w:val="20"/>
      <w:lang w:eastAsia="pt-BR"/>
    </w:rPr>
  </w:style>
  <w:style w:type="character" w:customStyle="1" w:styleId="Ttulo1Char">
    <w:name w:val="Título 1 Char"/>
    <w:basedOn w:val="Fontepargpadro"/>
    <w:link w:val="Ttulo1"/>
    <w:uiPriority w:val="9"/>
    <w:rsid w:val="00071EDE"/>
    <w:rPr>
      <w:rFonts w:asciiTheme="majorHAnsi" w:eastAsiaTheme="majorEastAsia" w:hAnsiTheme="majorHAnsi" w:cstheme="majorBidi"/>
      <w:b/>
      <w:bCs/>
      <w:color w:val="365F91" w:themeColor="accent1" w:themeShade="BF"/>
      <w:sz w:val="28"/>
      <w:szCs w:val="28"/>
    </w:rPr>
  </w:style>
  <w:style w:type="paragraph" w:customStyle="1" w:styleId="06-Pargrafodetexto-CLG">
    <w:name w:val="06 - Parágrafo de texto - CLG"/>
    <w:link w:val="06-Pargrafodetexto-CLGChar"/>
    <w:rsid w:val="006E5AF3"/>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6-Pargrafodetexto-CLGChar">
    <w:name w:val="06 - Parágrafo de texto - CLG Char"/>
    <w:link w:val="06-Pargrafodetexto-CLG"/>
    <w:rsid w:val="006E5AF3"/>
    <w:rPr>
      <w:rFonts w:ascii="Times New Roman" w:eastAsia="Times New Roman" w:hAnsi="Times New Roman" w:cs="Times New Roman"/>
      <w:sz w:val="28"/>
      <w:szCs w:val="20"/>
      <w:lang w:eastAsia="pt-BR"/>
    </w:rPr>
  </w:style>
  <w:style w:type="paragraph" w:customStyle="1" w:styleId="05-Citaolegal-linhasiniciais-CLG">
    <w:name w:val="05 - Citação legal - linhas iniciais - CLG"/>
    <w:link w:val="05-Citaolegal-linhasiniciais-CLGChar"/>
    <w:rsid w:val="006E5AF3"/>
    <w:pPr>
      <w:spacing w:after="120" w:line="240" w:lineRule="auto"/>
      <w:ind w:left="1985" w:firstLine="567"/>
      <w:jc w:val="both"/>
    </w:pPr>
    <w:rPr>
      <w:rFonts w:ascii="Times New Roman" w:eastAsia="Times New Roman" w:hAnsi="Times New Roman" w:cs="Times New Roman"/>
      <w:bCs/>
      <w:sz w:val="24"/>
      <w:szCs w:val="20"/>
      <w:lang w:eastAsia="pt-BR"/>
    </w:rPr>
  </w:style>
  <w:style w:type="character" w:customStyle="1" w:styleId="05-Citaolegal-linhasiniciais-CLGChar">
    <w:name w:val="05 - Citação legal - linhas iniciais - CLG Char"/>
    <w:link w:val="05-Citaolegal-linhasiniciais-CLG"/>
    <w:rsid w:val="006E5AF3"/>
    <w:rPr>
      <w:rFonts w:ascii="Times New Roman" w:eastAsia="Times New Roman" w:hAnsi="Times New Roman" w:cs="Times New Roman"/>
      <w:bCs/>
      <w:sz w:val="24"/>
      <w:szCs w:val="20"/>
      <w:lang w:eastAsia="pt-BR"/>
    </w:rPr>
  </w:style>
  <w:style w:type="character" w:styleId="Refdecomentrio">
    <w:name w:val="annotation reference"/>
    <w:basedOn w:val="Fontepargpadro"/>
    <w:uiPriority w:val="99"/>
    <w:semiHidden/>
    <w:unhideWhenUsed/>
    <w:rsid w:val="0007646C"/>
    <w:rPr>
      <w:sz w:val="16"/>
      <w:szCs w:val="16"/>
    </w:rPr>
  </w:style>
  <w:style w:type="paragraph" w:styleId="Textodecomentrio">
    <w:name w:val="annotation text"/>
    <w:basedOn w:val="Normal"/>
    <w:link w:val="TextodecomentrioChar"/>
    <w:uiPriority w:val="99"/>
    <w:semiHidden/>
    <w:unhideWhenUsed/>
    <w:rsid w:val="0007646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07646C"/>
    <w:rPr>
      <w:sz w:val="20"/>
      <w:szCs w:val="20"/>
    </w:rPr>
  </w:style>
  <w:style w:type="paragraph" w:styleId="Assuntodocomentrio">
    <w:name w:val="annotation subject"/>
    <w:basedOn w:val="Textodecomentrio"/>
    <w:next w:val="Textodecomentrio"/>
    <w:link w:val="AssuntodocomentrioChar"/>
    <w:uiPriority w:val="99"/>
    <w:semiHidden/>
    <w:unhideWhenUsed/>
    <w:rsid w:val="0007646C"/>
    <w:rPr>
      <w:b/>
      <w:bCs/>
    </w:rPr>
  </w:style>
  <w:style w:type="character" w:customStyle="1" w:styleId="AssuntodocomentrioChar">
    <w:name w:val="Assunto do comentário Char"/>
    <w:basedOn w:val="TextodecomentrioChar"/>
    <w:link w:val="Assuntodocomentrio"/>
    <w:uiPriority w:val="99"/>
    <w:semiHidden/>
    <w:rsid w:val="0007646C"/>
    <w:rPr>
      <w:b/>
      <w:bCs/>
      <w:sz w:val="20"/>
      <w:szCs w:val="20"/>
    </w:rPr>
  </w:style>
  <w:style w:type="paragraph" w:styleId="Textodebalo">
    <w:name w:val="Balloon Text"/>
    <w:basedOn w:val="Normal"/>
    <w:link w:val="TextodebaloChar"/>
    <w:uiPriority w:val="99"/>
    <w:semiHidden/>
    <w:unhideWhenUsed/>
    <w:rsid w:val="0007646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7646C"/>
    <w:rPr>
      <w:rFonts w:ascii="Segoe UI" w:hAnsi="Segoe UI" w:cs="Segoe UI"/>
      <w:sz w:val="18"/>
      <w:szCs w:val="18"/>
    </w:rPr>
  </w:style>
  <w:style w:type="character" w:styleId="Hyperlink">
    <w:name w:val="Hyperlink"/>
    <w:basedOn w:val="Fontepargpadro"/>
    <w:uiPriority w:val="99"/>
    <w:unhideWhenUsed/>
    <w:rsid w:val="00B7681F"/>
    <w:rPr>
      <w:color w:val="0000FF" w:themeColor="hyperlink"/>
      <w:u w:val="single"/>
    </w:rPr>
  </w:style>
  <w:style w:type="paragraph" w:customStyle="1" w:styleId="04-Relatoria-CLG">
    <w:name w:val="04 - Relatoria - CLG"/>
    <w:link w:val="04-Relatoria-CLGChar"/>
    <w:rsid w:val="00531F30"/>
    <w:pPr>
      <w:spacing w:after="960" w:line="240" w:lineRule="auto"/>
      <w:ind w:left="1440"/>
    </w:pPr>
    <w:rPr>
      <w:rFonts w:ascii="Times New Roman" w:eastAsia="Times New Roman" w:hAnsi="Times New Roman" w:cs="Times New Roman"/>
      <w:sz w:val="28"/>
      <w:szCs w:val="20"/>
      <w:lang w:eastAsia="pt-BR"/>
    </w:rPr>
  </w:style>
  <w:style w:type="character" w:customStyle="1" w:styleId="04-Relatoria-CLGChar">
    <w:name w:val="04 - Relatoria - CLG Char"/>
    <w:link w:val="04-Relatoria-CLG"/>
    <w:rsid w:val="00531F30"/>
    <w:rPr>
      <w:rFonts w:ascii="Times New Roman" w:eastAsia="Times New Roman" w:hAnsi="Times New Roman" w:cs="Times New Roman"/>
      <w:sz w:val="28"/>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229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E1E04F-BC44-4492-91B2-AFC09D576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2260</Words>
  <Characters>12205</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14437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conleg@senado.leg.br</dc:creator>
  <cp:lastModifiedBy>Tiago Torres de Lima Brum</cp:lastModifiedBy>
  <cp:revision>2</cp:revision>
  <cp:lastPrinted>2017-05-09T19:34:00Z</cp:lastPrinted>
  <dcterms:created xsi:type="dcterms:W3CDTF">2017-05-09T19:35:00Z</dcterms:created>
  <dcterms:modified xsi:type="dcterms:W3CDTF">2017-05-09T19:35:00Z</dcterms:modified>
</cp:coreProperties>
</file>