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80F" w:rsidRPr="00F1180F" w:rsidRDefault="00F1180F" w:rsidP="00F1180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F1180F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COMISSÃO MISTA DA MEDIDA PROVISÓRIA Nº 905, DE 2019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.</w:t>
      </w:r>
    </w:p>
    <w:p w:rsidR="00F1180F" w:rsidRPr="00F1180F" w:rsidRDefault="00F1180F" w:rsidP="00F1180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</w:p>
    <w:p w:rsidR="00F1180F" w:rsidRPr="00F1180F" w:rsidRDefault="00F1180F" w:rsidP="00F1180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hyperlink r:id="rId5" w:history="1">
        <w:r w:rsidRPr="00F1180F">
          <w:rPr>
            <w:rFonts w:ascii="Times New Roman" w:eastAsia="Times New Roman" w:hAnsi="Times New Roman" w:cs="Times New Roman"/>
            <w:b/>
            <w:bCs/>
            <w:sz w:val="27"/>
            <w:szCs w:val="27"/>
            <w:lang w:eastAsia="pt-BR"/>
          </w:rPr>
          <w:t>MEDIDA PROVISÓRIA Nº 905, DE 11 DE NOVEMBRO DE 2019</w:t>
        </w:r>
        <w:proofErr w:type="gramStart"/>
      </w:hyperlink>
      <w:proofErr w:type="gramEnd"/>
    </w:p>
    <w:p w:rsidR="00F1180F" w:rsidRPr="00F1180F" w:rsidRDefault="00F1180F" w:rsidP="00F1180F">
      <w:pPr>
        <w:spacing w:after="160" w:line="259" w:lineRule="auto"/>
        <w:ind w:left="354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1180F" w:rsidRPr="00F1180F" w:rsidRDefault="00F1180F" w:rsidP="00F1180F">
      <w:pPr>
        <w:spacing w:after="160" w:line="259" w:lineRule="auto"/>
        <w:ind w:left="354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118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Institui o Contrato de Trabalho Verde e Amarelo, altera a legislação trabalhista, e dá outras </w:t>
      </w:r>
      <w:proofErr w:type="gramStart"/>
      <w:r w:rsidRPr="00F118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providências</w:t>
      </w:r>
      <w:proofErr w:type="gramEnd"/>
    </w:p>
    <w:p w:rsidR="00F1180F" w:rsidRPr="00F1180F" w:rsidRDefault="00F1180F" w:rsidP="00F1180F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180F" w:rsidRPr="00F1180F" w:rsidRDefault="00F1180F" w:rsidP="00F1180F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  <w:r w:rsidRPr="00F1180F">
        <w:rPr>
          <w:rFonts w:ascii="Arial" w:eastAsia="Times New Roman" w:hAnsi="Arial" w:cs="Arial"/>
          <w:b/>
          <w:bCs/>
          <w:sz w:val="27"/>
          <w:szCs w:val="27"/>
          <w:lang w:eastAsia="pt-BR"/>
        </w:rPr>
        <w:t xml:space="preserve">EMENDA </w:t>
      </w:r>
      <w:r w:rsidRPr="00F1180F">
        <w:rPr>
          <w:rFonts w:ascii="Arial" w:eastAsia="Times New Roman" w:hAnsi="Arial" w:cs="Arial"/>
          <w:b/>
          <w:bCs/>
          <w:noProof/>
          <w:sz w:val="27"/>
          <w:szCs w:val="27"/>
          <w:lang w:eastAsia="pt-BR"/>
        </w:rPr>
        <w:t>SUPRESSIVA</w:t>
      </w:r>
    </w:p>
    <w:p w:rsidR="00F1180F" w:rsidRPr="00F1180F" w:rsidRDefault="00F1180F" w:rsidP="00F1180F">
      <w:pPr>
        <w:spacing w:after="160" w:line="259" w:lineRule="auto"/>
        <w:jc w:val="both"/>
        <w:rPr>
          <w:rFonts w:ascii="Arial" w:hAnsi="Arial" w:cs="Arial"/>
          <w:sz w:val="24"/>
          <w:szCs w:val="24"/>
        </w:rPr>
      </w:pPr>
    </w:p>
    <w:p w:rsidR="00F1180F" w:rsidRPr="00F1180F" w:rsidRDefault="00F1180F" w:rsidP="00F1180F">
      <w:pPr>
        <w:spacing w:after="160" w:line="259" w:lineRule="auto"/>
        <w:ind w:left="1416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1180F">
        <w:rPr>
          <w:rFonts w:ascii="Arial" w:hAnsi="Arial" w:cs="Arial"/>
          <w:noProof/>
          <w:sz w:val="24"/>
          <w:szCs w:val="24"/>
          <w:shd w:val="clear" w:color="auto" w:fill="FFFFFF"/>
        </w:rPr>
        <w:t>Suprima-se o art. 7º</w:t>
      </w:r>
    </w:p>
    <w:p w:rsidR="00F1180F" w:rsidRPr="00F1180F" w:rsidRDefault="00F1180F" w:rsidP="00F1180F">
      <w:pPr>
        <w:spacing w:after="160" w:line="259" w:lineRule="auto"/>
        <w:ind w:left="1416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1180F" w:rsidRPr="00F1180F" w:rsidRDefault="00F1180F" w:rsidP="00F1180F">
      <w:pPr>
        <w:spacing w:before="100" w:beforeAutospacing="1" w:after="100" w:afterAutospacing="1" w:line="36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  <w:r w:rsidRPr="00F1180F">
        <w:rPr>
          <w:rFonts w:ascii="Arial" w:eastAsia="Times New Roman" w:hAnsi="Arial" w:cs="Arial"/>
          <w:b/>
          <w:bCs/>
          <w:sz w:val="27"/>
          <w:szCs w:val="27"/>
          <w:lang w:eastAsia="pt-BR"/>
        </w:rPr>
        <w:t>JUSTIFICAÇÃO</w:t>
      </w:r>
    </w:p>
    <w:p w:rsidR="00F1180F" w:rsidRPr="00F1180F" w:rsidRDefault="00F1180F" w:rsidP="00F1180F">
      <w:pPr>
        <w:spacing w:after="160" w:line="480" w:lineRule="auto"/>
        <w:ind w:firstLine="708"/>
        <w:jc w:val="both"/>
        <w:rPr>
          <w:rFonts w:ascii="Arial" w:hAnsi="Arial" w:cs="Arial"/>
          <w:noProof/>
          <w:sz w:val="24"/>
          <w:szCs w:val="24"/>
        </w:rPr>
      </w:pPr>
      <w:r w:rsidRPr="00F1180F">
        <w:rPr>
          <w:rFonts w:ascii="Arial" w:hAnsi="Arial" w:cs="Arial"/>
          <w:noProof/>
          <w:sz w:val="24"/>
          <w:szCs w:val="24"/>
        </w:rPr>
        <w:t>O art. 7º vai ainda além na ruptura do direito ao FGTS de forma isonômica para todos os trabalhadores, reduzindo para 2% a alíquota do FGTS, que é de 8% nos demais casos.</w:t>
      </w:r>
    </w:p>
    <w:p w:rsidR="00F1180F" w:rsidRPr="00F1180F" w:rsidRDefault="00F1180F" w:rsidP="00F1180F">
      <w:pPr>
        <w:spacing w:after="160" w:line="480" w:lineRule="auto"/>
        <w:ind w:firstLine="708"/>
        <w:jc w:val="both"/>
        <w:rPr>
          <w:rFonts w:ascii="Arial" w:hAnsi="Arial" w:cs="Arial"/>
          <w:noProof/>
          <w:sz w:val="24"/>
          <w:szCs w:val="24"/>
        </w:rPr>
      </w:pPr>
      <w:r w:rsidRPr="00F1180F">
        <w:rPr>
          <w:rFonts w:ascii="Arial" w:hAnsi="Arial" w:cs="Arial"/>
          <w:noProof/>
          <w:sz w:val="24"/>
          <w:szCs w:val="24"/>
        </w:rPr>
        <w:t>A natureza jurídica da contribuição para o FGTS é a de direito trabalhista, garantia de caráter institucional devida ao trabalhador, e que, por definição, deve ser isonômico, sob pena de ter-se trabalhadores de primeira, segunda, terceira  categoria. A previsão constitucional pressupõe o tratamento isonômico, sob pena de admitir-se, até, que lei fixe percentuais distintos por categoria profissional, por faixa etária, ou por tempo de serviço, ou se o trabalhador é ou não aposentado...</w:t>
      </w:r>
    </w:p>
    <w:p w:rsidR="00F1180F" w:rsidRPr="00F1180F" w:rsidRDefault="00F1180F" w:rsidP="00F1180F">
      <w:pPr>
        <w:spacing w:after="160" w:line="480" w:lineRule="auto"/>
        <w:ind w:firstLine="708"/>
        <w:jc w:val="both"/>
        <w:rPr>
          <w:rFonts w:ascii="Arial" w:hAnsi="Arial" w:cs="Arial"/>
          <w:noProof/>
          <w:sz w:val="24"/>
          <w:szCs w:val="24"/>
        </w:rPr>
      </w:pPr>
      <w:r w:rsidRPr="00F1180F">
        <w:rPr>
          <w:rFonts w:ascii="Arial" w:hAnsi="Arial" w:cs="Arial"/>
          <w:noProof/>
          <w:sz w:val="24"/>
          <w:szCs w:val="24"/>
        </w:rPr>
        <w:t xml:space="preserve">A PEC 6, em sua formulação inicial, previa que “o vínculo empregatício mantido no momento da concessão de aposentadoria voluntária não ensejará o </w:t>
      </w:r>
      <w:r w:rsidRPr="00F1180F">
        <w:rPr>
          <w:rFonts w:ascii="Arial" w:hAnsi="Arial" w:cs="Arial"/>
          <w:noProof/>
          <w:sz w:val="24"/>
          <w:szCs w:val="24"/>
        </w:rPr>
        <w:lastRenderedPageBreak/>
        <w:t xml:space="preserve">pagamento da indenização compensatória prevista no inciso I do caput do art. 7º da Constituição, nem o depósito do fundo de garantia do tempo de serviço devido a partir da concessão da aposentadoria.” </w:t>
      </w:r>
    </w:p>
    <w:p w:rsidR="00F1180F" w:rsidRPr="00F1180F" w:rsidRDefault="00F1180F" w:rsidP="00F1180F">
      <w:pPr>
        <w:spacing w:after="160" w:line="48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1180F">
        <w:rPr>
          <w:rFonts w:ascii="Arial" w:hAnsi="Arial" w:cs="Arial"/>
          <w:noProof/>
          <w:sz w:val="24"/>
          <w:szCs w:val="24"/>
        </w:rPr>
        <w:t xml:space="preserve">Essa proposta, por absurda, foi rejeitada na própria Comissão Especial. </w:t>
      </w:r>
    </w:p>
    <w:p w:rsidR="00F1180F" w:rsidRDefault="00F1180F" w:rsidP="00F1180F">
      <w:pPr>
        <w:pStyle w:val="FECHOlocaledata"/>
        <w:rPr>
          <w:rFonts w:cs="Arial"/>
        </w:rPr>
      </w:pPr>
      <w:r w:rsidRPr="00F1180F">
        <w:rPr>
          <w:rFonts w:cs="Arial"/>
        </w:rPr>
        <w:t>Sala da Comissão, 19 de novembro de 2019.</w:t>
      </w:r>
    </w:p>
    <w:p w:rsidR="00F1180F" w:rsidRPr="0002723B" w:rsidRDefault="00F1180F" w:rsidP="00F1180F">
      <w:pPr>
        <w:pStyle w:val="FECHOlocaledata"/>
        <w:rPr>
          <w:b/>
        </w:rPr>
      </w:pPr>
      <w:r w:rsidRPr="00F1180F">
        <w:rPr>
          <w:rFonts w:cs="Arial"/>
        </w:rPr>
        <w:br/>
      </w:r>
      <w:r w:rsidRPr="00F1180F">
        <w:rPr>
          <w:rFonts w:cs="Arial"/>
          <w:b/>
        </w:rPr>
        <w:t>Deputado Bira do Pindaré</w:t>
      </w:r>
      <w:r>
        <w:rPr>
          <w:rFonts w:cs="Arial"/>
          <w:b/>
        </w:rPr>
        <w:br/>
      </w:r>
      <w:bookmarkStart w:id="0" w:name="_GoBack"/>
      <w:bookmarkEnd w:id="0"/>
      <w:r w:rsidRPr="0002723B">
        <w:rPr>
          <w:b/>
        </w:rPr>
        <w:t>PSB/MA</w:t>
      </w:r>
    </w:p>
    <w:p w:rsidR="00C51295" w:rsidRDefault="00C51295"/>
    <w:sectPr w:rsidR="00C512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80F"/>
    <w:rsid w:val="00C51295"/>
    <w:rsid w:val="00F1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SSINATURA">
    <w:name w:val="ASSINATURA"/>
    <w:basedOn w:val="Normal"/>
    <w:next w:val="NDOTRABALHOSISCONLE"/>
    <w:qFormat/>
    <w:rsid w:val="00F1180F"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paragraph" w:customStyle="1" w:styleId="NDOTRABALHOSISCONLE">
    <w:name w:val="Nº DO TRABALHO SISCONLE"/>
    <w:basedOn w:val="Normal"/>
    <w:semiHidden/>
    <w:qFormat/>
    <w:rsid w:val="00F1180F"/>
    <w:pPr>
      <w:widowControl w:val="0"/>
      <w:spacing w:after="120" w:line="240" w:lineRule="auto"/>
      <w:jc w:val="both"/>
    </w:pPr>
    <w:rPr>
      <w:rFonts w:ascii="Arial" w:eastAsia="Times New Roman" w:hAnsi="Arial" w:cs="Times New Roman"/>
      <w:snapToGrid w:val="0"/>
      <w:color w:val="000000"/>
      <w:sz w:val="16"/>
      <w:szCs w:val="24"/>
    </w:rPr>
  </w:style>
  <w:style w:type="paragraph" w:customStyle="1" w:styleId="FECHOlocaledata">
    <w:name w:val="FECHO (local e data)"/>
    <w:basedOn w:val="Normal"/>
    <w:next w:val="ASSINATURA"/>
    <w:qFormat/>
    <w:rsid w:val="00F1180F"/>
    <w:pPr>
      <w:spacing w:before="720" w:after="720" w:line="360" w:lineRule="auto"/>
      <w:jc w:val="center"/>
    </w:pPr>
    <w:rPr>
      <w:rFonts w:ascii="Arial" w:eastAsia="Times New Roman" w:hAnsi="Arial" w:cs="Times New Roman"/>
      <w:snapToGrid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SSINATURA">
    <w:name w:val="ASSINATURA"/>
    <w:basedOn w:val="Normal"/>
    <w:next w:val="NDOTRABALHOSISCONLE"/>
    <w:qFormat/>
    <w:rsid w:val="00F1180F"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paragraph" w:customStyle="1" w:styleId="NDOTRABALHOSISCONLE">
    <w:name w:val="Nº DO TRABALHO SISCONLE"/>
    <w:basedOn w:val="Normal"/>
    <w:semiHidden/>
    <w:qFormat/>
    <w:rsid w:val="00F1180F"/>
    <w:pPr>
      <w:widowControl w:val="0"/>
      <w:spacing w:after="120" w:line="240" w:lineRule="auto"/>
      <w:jc w:val="both"/>
    </w:pPr>
    <w:rPr>
      <w:rFonts w:ascii="Arial" w:eastAsia="Times New Roman" w:hAnsi="Arial" w:cs="Times New Roman"/>
      <w:snapToGrid w:val="0"/>
      <w:color w:val="000000"/>
      <w:sz w:val="16"/>
      <w:szCs w:val="24"/>
    </w:rPr>
  </w:style>
  <w:style w:type="paragraph" w:customStyle="1" w:styleId="FECHOlocaledata">
    <w:name w:val="FECHO (local e data)"/>
    <w:basedOn w:val="Normal"/>
    <w:next w:val="ASSINATURA"/>
    <w:qFormat/>
    <w:rsid w:val="00F1180F"/>
    <w:pPr>
      <w:spacing w:before="720" w:after="720" w:line="360" w:lineRule="auto"/>
      <w:jc w:val="center"/>
    </w:pPr>
    <w:rPr>
      <w:rFonts w:ascii="Arial" w:eastAsia="Times New Roman" w:hAnsi="Arial" w:cs="Times New Roman"/>
      <w:snapToGrid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egislacao.planalto.gov.br/legisla/legislacao.nsf/Viw_Identificacao/mpv%20898-2019?OpenDocu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Câmara dos Deputados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2019-11-20T00:10:00Z</dcterms:created>
  <dcterms:modified xsi:type="dcterms:W3CDTF">2019-11-20T00:14:00Z</dcterms:modified>
</cp:coreProperties>
</file>