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BAA58" w14:textId="77777777" w:rsidR="00A85ECB" w:rsidRDefault="00C218D0" w:rsidP="00A85ECB">
      <w:pPr>
        <w:pStyle w:val="02-TtuloPrincipal-CLG"/>
      </w:pPr>
      <w:bookmarkStart w:id="0" w:name="_GoBack"/>
      <w:bookmarkEnd w:id="0"/>
      <w:r>
        <w:rPr>
          <w:caps/>
        </w:rPr>
        <w:t>Parecer</w:t>
      </w:r>
      <w:r w:rsidR="00A85ECB">
        <w:t xml:space="preserve"> Nº     </w:t>
      </w:r>
      <w:proofErr w:type="gramStart"/>
      <w:r w:rsidR="00A85ECB">
        <w:t xml:space="preserve">  ,</w:t>
      </w:r>
      <w:proofErr w:type="gramEnd"/>
      <w:r w:rsidR="00A85ECB">
        <w:t xml:space="preserve"> DE 2016</w:t>
      </w:r>
    </w:p>
    <w:p w14:paraId="0D68A81D" w14:textId="03060E9F" w:rsidR="007A71A1" w:rsidRDefault="00C218D0" w:rsidP="007A71A1">
      <w:pPr>
        <w:pStyle w:val="03-Ementa-CLG"/>
      </w:pPr>
      <w:r>
        <w:t xml:space="preserve">Da COMISSÃO </w:t>
      </w:r>
      <w:r w:rsidR="000511FC">
        <w:t>MISTA, sobre a Medida Provisór</w:t>
      </w:r>
      <w:r w:rsidR="00DE6FF3">
        <w:t>ia</w:t>
      </w:r>
      <w:r w:rsidR="000511FC">
        <w:t xml:space="preserve"> nº 732, de 10 de junho de 2016, que </w:t>
      </w:r>
      <w:r w:rsidR="000511FC" w:rsidRPr="000511FC">
        <w:rPr>
          <w:i/>
        </w:rPr>
        <w:t>limita o reajuste das receitas patrimoniais decorrentes da atualização da planta de valores, para efeito do cálculo do valor do domínio pleno do terreno a que se refere o art. 1º, § 1º, do Decreto-Lei nº 2.398, de 21 de dezembro de 1987</w:t>
      </w:r>
      <w:r w:rsidR="000511FC" w:rsidRPr="000511FC">
        <w:t>.</w:t>
      </w:r>
    </w:p>
    <w:p w14:paraId="4999770A" w14:textId="77777777" w:rsidR="00A85ECB" w:rsidRDefault="000511FC" w:rsidP="00A85ECB">
      <w:pPr>
        <w:pStyle w:val="04-Relatoria-CLG"/>
      </w:pPr>
      <w:r>
        <w:t>Relator: Senador</w:t>
      </w:r>
      <w:r w:rsidR="00C218D0">
        <w:t xml:space="preserve"> </w:t>
      </w:r>
      <w:r>
        <w:rPr>
          <w:b/>
          <w:caps/>
        </w:rPr>
        <w:t>RICARDO FERRAÇO</w:t>
      </w:r>
    </w:p>
    <w:p w14:paraId="1F7895E6" w14:textId="77777777" w:rsidR="00A85ECB" w:rsidRDefault="00A85ECB" w:rsidP="00A85ECB">
      <w:pPr>
        <w:pStyle w:val="05-Subttulo-CLG"/>
      </w:pPr>
      <w:r>
        <w:t>I – RELATÓRIO</w:t>
      </w:r>
    </w:p>
    <w:p w14:paraId="43BF0225" w14:textId="77777777" w:rsidR="007A71A1" w:rsidRPr="007A71A1" w:rsidRDefault="007A71A1" w:rsidP="007A71A1">
      <w:pPr>
        <w:pStyle w:val="06-Pargrafodetexto-CLG"/>
      </w:pPr>
    </w:p>
    <w:p w14:paraId="701B552B" w14:textId="77777777" w:rsidR="00A85ECB" w:rsidRDefault="00BB7CA4" w:rsidP="00A85ECB">
      <w:pPr>
        <w:pStyle w:val="06-Pargrafodetexto-CLG"/>
      </w:pPr>
      <w:r>
        <w:t>Vem à análise desta Comissão</w:t>
      </w:r>
      <w:r w:rsidR="00DE6FF3">
        <w:t xml:space="preserve">, nos termos do § 9º do art. 62 da Constituição Federal, a Medida Provisória (MPV) nº 732, de 2016, que </w:t>
      </w:r>
      <w:r w:rsidR="00DE6FF3" w:rsidRPr="000511FC">
        <w:rPr>
          <w:i/>
        </w:rPr>
        <w:t>limita o reajuste das receitas patrimoniais decorrentes da atualização da planta de valores, para efeito do cálculo do valor do domínio pleno do terreno a que se refere o art. 1º, § 1º, do Decreto-Lei nº 2.398, de 21 de dezembro de 1987</w:t>
      </w:r>
      <w:r w:rsidR="00DE6FF3">
        <w:t>.</w:t>
      </w:r>
    </w:p>
    <w:p w14:paraId="639F50CC" w14:textId="77777777" w:rsidR="00DE6FF3" w:rsidRDefault="00DE6FF3" w:rsidP="00DE6FF3">
      <w:pPr>
        <w:pStyle w:val="06-Pargrafodetexto-CLG"/>
      </w:pPr>
      <w:r>
        <w:t xml:space="preserve">Nesse sentido, o </w:t>
      </w:r>
      <w:r w:rsidRPr="00DE6FF3">
        <w:rPr>
          <w:i/>
        </w:rPr>
        <w:t>caput</w:t>
      </w:r>
      <w:r>
        <w:t xml:space="preserve"> do art. 1º da MPV nº 732 determina que, no exercício de 2016, o reajuste das receitas patrimoniais decorrentes da atualização da planta de valores, para efeito do cálculo do valor do domínio pleno do terreno a que se refere o § 1º do art. 1º do Decreto-Lei nº 2.398, de 21 de dezembro de 1987, seja limitado a 10,54% sobre o valor do trecho correspondente para o exercício de 2015, ressalvada a correção de inconsistências cadastrais.</w:t>
      </w:r>
    </w:p>
    <w:p w14:paraId="71EB9DD0" w14:textId="77777777" w:rsidR="00DE6FF3" w:rsidRDefault="00DE6FF3" w:rsidP="00DE6FF3">
      <w:pPr>
        <w:pStyle w:val="06-Pargrafodetexto-CLG"/>
      </w:pPr>
      <w:r>
        <w:t xml:space="preserve">Registre-se que o dispositivo do Decreto-Lei nº 2.398, de 1987, citado no art. 1º da MPV estabelece os critérios utilizados para a atualização do valor do domínio pleno dos terrenos da União, que se faz em </w:t>
      </w:r>
      <w:r>
        <w:lastRenderedPageBreak/>
        <w:t>conformidade com a planta de valores genéricos elaborada pelos Municípios e pelo Distrito Federal, para as áreas urbanas; ou com a Planilha Referencial de Preços de Terras elaborada pelo Instituto Nacional de Colonização e Reforma Agrária (Incra), para as áreas rurais.</w:t>
      </w:r>
    </w:p>
    <w:p w14:paraId="7712307E" w14:textId="77777777" w:rsidR="00DE6FF3" w:rsidRDefault="00DE6FF3" w:rsidP="00DE6FF3">
      <w:pPr>
        <w:pStyle w:val="06-Pargrafodetexto-CLG"/>
      </w:pPr>
      <w:r>
        <w:t>Por sua vez, o § 1º do art. 1º da MPV nº 732 estabelece que o ajuste de eventuais diferenças entre a planta de valores adotada pela Secretaria do Patrimônio da União (SPU) para o cálculo do valor do domínio pleno dos terrenos da União e as plantas de valores genéricos elaboradas pelos Municípios e pelo Distrito Federal, para as áreas urbanas, ou a Planilha Referencial de Preços de Terras elaborada pelo Incra, para as áreas rurais, incluídas as atualizações futuras, será implementado, de forma proporcional, nos dez exercícios subsequentes, na forma a ser disciplinada em regulamento pela SPU.</w:t>
      </w:r>
    </w:p>
    <w:p w14:paraId="0FDB3C66" w14:textId="77777777" w:rsidR="00DE6FF3" w:rsidRDefault="00DE6FF3" w:rsidP="00DE6FF3">
      <w:pPr>
        <w:pStyle w:val="06-Pargrafodetexto-CLG"/>
      </w:pPr>
      <w:r>
        <w:t>O § 2º do art. 1º da MPV nº 732</w:t>
      </w:r>
      <w:r w:rsidR="00DD04BB">
        <w:t>, por seu turno,</w:t>
      </w:r>
      <w:r>
        <w:t xml:space="preserve"> determina que a SPU efetuará os novos lançamentos decorrentes da aplicação do disposto no </w:t>
      </w:r>
      <w:r w:rsidRPr="00DD04BB">
        <w:rPr>
          <w:i/>
        </w:rPr>
        <w:t>caput</w:t>
      </w:r>
      <w:r>
        <w:t xml:space="preserve"> do artigo e disponibilizará os documentos de arrecadação em seu sítio eletrônico, para os quais serão concedidos o parcelamento em até seis cotas mensais, com o vencimento da primeira parcela ou da cota única para o dia 29 de julho de 2016, respeitado o valor mínimo de R$ 100,00 para cada parcela.</w:t>
      </w:r>
    </w:p>
    <w:p w14:paraId="68A8DAD0" w14:textId="77777777" w:rsidR="00DE6FF3" w:rsidRDefault="00DE6FF3" w:rsidP="00DE6FF3">
      <w:pPr>
        <w:pStyle w:val="06-Pargrafodetexto-CLG"/>
      </w:pPr>
      <w:r>
        <w:t>Por fim, o art. 2º da MPV nº 732 contém a cláusula de vigência, determinando a entrada em vigor na data de sua publicação.</w:t>
      </w:r>
    </w:p>
    <w:p w14:paraId="30DF3B86" w14:textId="77777777" w:rsidR="00DD04BB" w:rsidRDefault="00DD04BB" w:rsidP="00DE6FF3">
      <w:pPr>
        <w:pStyle w:val="06-Pargrafodetexto-CLG"/>
      </w:pPr>
      <w:r>
        <w:t>Foram apresentadas 41 emendas no prazo regimental.</w:t>
      </w:r>
    </w:p>
    <w:p w14:paraId="10C4B359" w14:textId="77777777" w:rsidR="007A71A1" w:rsidRPr="00DE6FF3" w:rsidRDefault="007A71A1" w:rsidP="00DE6FF3">
      <w:pPr>
        <w:pStyle w:val="06-Pargrafodetexto-CLG"/>
      </w:pPr>
    </w:p>
    <w:p w14:paraId="7EFB54F9" w14:textId="77777777" w:rsidR="00A85ECB" w:rsidRDefault="00A85ECB" w:rsidP="00A85ECB">
      <w:pPr>
        <w:pStyle w:val="05-Subttulo-CLG"/>
      </w:pPr>
      <w:r w:rsidRPr="005523B9">
        <w:t>II – ANÁLISE</w:t>
      </w:r>
    </w:p>
    <w:p w14:paraId="65212616" w14:textId="77777777" w:rsidR="007A71A1" w:rsidRPr="007A71A1" w:rsidRDefault="007A71A1" w:rsidP="007A71A1">
      <w:pPr>
        <w:pStyle w:val="06-Pargrafodetexto-CLG"/>
      </w:pPr>
    </w:p>
    <w:p w14:paraId="0AF7D7BC" w14:textId="77777777" w:rsidR="00B80999" w:rsidRDefault="00B80999" w:rsidP="000346E0">
      <w:pPr>
        <w:pStyle w:val="06-Pargrafodetexto-CLG"/>
      </w:pPr>
      <w:r>
        <w:t xml:space="preserve">Compete a esta Comissão emitir parecer quanto </w:t>
      </w:r>
      <w:r w:rsidR="00DD04BB">
        <w:t xml:space="preserve">aos requisitos constitucionais, à </w:t>
      </w:r>
      <w:r w:rsidR="000346E0">
        <w:t>adequação financeira e</w:t>
      </w:r>
      <w:r w:rsidR="00DD04BB">
        <w:t xml:space="preserve"> orçamentária</w:t>
      </w:r>
      <w:r w:rsidR="000346E0">
        <w:t>, à técnica legislativa</w:t>
      </w:r>
      <w:r>
        <w:t xml:space="preserve"> e </w:t>
      </w:r>
      <w:r w:rsidR="00DD04BB">
        <w:t>ao mérito da Medida Provisória a ela submetida, nos termos dos §§ 1º a 4º do art. 5º da Resolução nº 1, de 2002, do Congresso Nacional.</w:t>
      </w:r>
    </w:p>
    <w:p w14:paraId="611C03C3" w14:textId="77777777" w:rsidR="00DD04BB" w:rsidRPr="00FE2F2D" w:rsidRDefault="00DD04BB" w:rsidP="000346E0">
      <w:pPr>
        <w:pStyle w:val="06-Pargrafodetexto-CLG"/>
      </w:pPr>
      <w:r>
        <w:t>Sob o ponto de vista da constitucionalidade e da juridicidade</w:t>
      </w:r>
      <w:r w:rsidRPr="00FE2F2D">
        <w:t>, respeita a Medida Provisória todos os requisitos constantes do art. 62 da Constituição Federal</w:t>
      </w:r>
      <w:r w:rsidR="008D0AA4">
        <w:t>, bem como aqueles</w:t>
      </w:r>
      <w:r>
        <w:t xml:space="preserve"> previstos na Resolução nº 1, de 2002-CN.</w:t>
      </w:r>
    </w:p>
    <w:p w14:paraId="0AC94016" w14:textId="77777777" w:rsidR="00DD04BB" w:rsidRDefault="00DD04BB" w:rsidP="000346E0">
      <w:pPr>
        <w:pStyle w:val="06-Pargrafodetexto-CLG"/>
      </w:pPr>
      <w:r>
        <w:t>De fato, foi a Medida Provisória editada pelo Presidente da República em 10 de junho de 2016, tendo sido publicada no mesmo dia em edição extra do Diário Oficial da União e encaminhada ao Congresso Nacional por intermédio da Mensagem nº 324, de 2016, acompanhada pela respectiva Exposição de Motivos, de nº 114-MPDG, de 2016, conforme determina o § 1º do art. 2º da Resolução nº 1, de 2002-CN.</w:t>
      </w:r>
    </w:p>
    <w:p w14:paraId="65AC4336" w14:textId="77777777" w:rsidR="00DD04BB" w:rsidRDefault="00DD04BB" w:rsidP="000346E0">
      <w:pPr>
        <w:pStyle w:val="06-Pargrafodetexto-CLG"/>
      </w:pPr>
      <w:r>
        <w:t>A</w:t>
      </w:r>
      <w:r w:rsidR="008D0AA4">
        <w:t>demais, a</w:t>
      </w:r>
      <w:r>
        <w:t xml:space="preserve"> Medida Provisória não adentra em quaisquer das matérias cuja disciplina é vedada por meio desse instrumento, nos termos do § 1º do art. 62 da Constituição Federal, tais como </w:t>
      </w:r>
      <w:r w:rsidRPr="004C152E">
        <w:t>direito penal, processual penal e processual civil.</w:t>
      </w:r>
    </w:p>
    <w:p w14:paraId="1C9B69CD" w14:textId="77777777" w:rsidR="00DD04BB" w:rsidRDefault="00DD04BB" w:rsidP="000346E0">
      <w:pPr>
        <w:pStyle w:val="06-Pargrafodetexto-CLG"/>
      </w:pPr>
      <w:r>
        <w:t>No que tange aos requisitos de relevância e urgência, cumpre lembrar a decisão do Supremo Tribunal Federal no bojo da ADI 1.717</w:t>
      </w:r>
      <w:r w:rsidRPr="004C152E">
        <w:t>-MC</w:t>
      </w:r>
      <w:r>
        <w:t>, onde se lê:</w:t>
      </w:r>
    </w:p>
    <w:p w14:paraId="1136A8A1" w14:textId="77777777" w:rsidR="00DD04BB" w:rsidRDefault="00DD04BB" w:rsidP="00DD04BB">
      <w:pPr>
        <w:pStyle w:val="06-Citaolegal-linhafinal-CLG"/>
        <w:ind w:firstLine="0"/>
      </w:pPr>
      <w:r w:rsidRPr="005D0B89">
        <w:t xml:space="preserve">No que concerne à alegada falta dos </w:t>
      </w:r>
      <w:r w:rsidRPr="005D0B89">
        <w:rPr>
          <w:b/>
        </w:rPr>
        <w:t>requisitos da relevância e da urgência da medida provisória</w:t>
      </w:r>
      <w:r w:rsidRPr="005D0B89">
        <w:t xml:space="preserve"> (que deu origem à lei em questão), exigidos no art. 62 da Constituição, o STF somente a tem por caracterizada quando neste objetivamente evidenciada. E não quando </w:t>
      </w:r>
      <w:r w:rsidRPr="005D0B89">
        <w:rPr>
          <w:b/>
        </w:rPr>
        <w:t>dependa de uma avaliação subjetiva, estritamente política, mediante critérios de oportunidade e conveniência, esta confiada aos Poderes Executivo e Legislativo</w:t>
      </w:r>
      <w:r w:rsidRPr="005D0B89">
        <w:t>, que têm melhores condições que o Judiciário</w:t>
      </w:r>
      <w:r>
        <w:t xml:space="preserve"> para uma conclusão a respeito.</w:t>
      </w:r>
      <w:r w:rsidRPr="005D0B89">
        <w:t xml:space="preserve"> (ADI 1.717-MC, rel. min. Sydney Sanches, julgamento em 22-9-1999, Segunda Turma, DJ de 25-2-2000.)</w:t>
      </w:r>
      <w:r>
        <w:t xml:space="preserve"> [</w:t>
      </w:r>
      <w:proofErr w:type="gramStart"/>
      <w:r>
        <w:t>grifou</w:t>
      </w:r>
      <w:proofErr w:type="gramEnd"/>
      <w:r>
        <w:t>-se]</w:t>
      </w:r>
    </w:p>
    <w:p w14:paraId="78EFE314" w14:textId="77777777" w:rsidR="008D0AA4" w:rsidRDefault="00DD04BB" w:rsidP="000346E0">
      <w:pPr>
        <w:pStyle w:val="06-Pargrafodetexto-CLG"/>
      </w:pPr>
      <w:r>
        <w:t>Nesse sentido</w:t>
      </w:r>
      <w:r w:rsidR="008D0AA4">
        <w:t>,</w:t>
      </w:r>
      <w:r>
        <w:t xml:space="preserve"> não se mostra patente a presença de vício quanto ao atendimento desses requisitos, competindo, no entanto, aos plenários da Câmara dos Deputados e do Senado Federal manifestar-se definitivamente a </w:t>
      </w:r>
      <w:r w:rsidRPr="000346E0">
        <w:t>esse respeito, nos termos do § 5º do art. 62 da Constituição.</w:t>
      </w:r>
    </w:p>
    <w:p w14:paraId="25E7781E" w14:textId="77777777" w:rsidR="00FB4AE0" w:rsidRDefault="00FB4AE0" w:rsidP="000346E0">
      <w:pPr>
        <w:pStyle w:val="06-Pargrafodetexto-CLG"/>
      </w:pPr>
      <w:r>
        <w:t xml:space="preserve">No que se refere à adequação financeira e orçamentária, a Nota Técnica nº 31, de </w:t>
      </w:r>
      <w:r w:rsidRPr="00FB4AE0">
        <w:t>2016</w:t>
      </w:r>
      <w:r>
        <w:t>,</w:t>
      </w:r>
      <w:r w:rsidRPr="00FB4AE0">
        <w:t xml:space="preserve"> da Consultoria de Orçamentos</w:t>
      </w:r>
      <w:r w:rsidR="00172E57">
        <w:t>,</w:t>
      </w:r>
      <w:r w:rsidRPr="00FB4AE0">
        <w:t xml:space="preserve"> Fiscalização e Contro</w:t>
      </w:r>
      <w:r>
        <w:t>le do Senado Federal, indicou a falta de demonstração</w:t>
      </w:r>
      <w:r w:rsidR="00172E57">
        <w:t>,</w:t>
      </w:r>
      <w:r>
        <w:t> por parte da Exposição de Motivos (</w:t>
      </w:r>
      <w:r w:rsidRPr="00FB4AE0">
        <w:t>EM</w:t>
      </w:r>
      <w:r>
        <w:t>)</w:t>
      </w:r>
      <w:r w:rsidRPr="00FB4AE0">
        <w:t xml:space="preserve"> 114/2016 MPDG</w:t>
      </w:r>
      <w:r w:rsidR="00172E57">
        <w:t>,</w:t>
      </w:r>
      <w:r w:rsidRPr="00FB4AE0">
        <w:t xml:space="preserve"> da adequação orçamentária e financeira da MP</w:t>
      </w:r>
      <w:r>
        <w:t xml:space="preserve">V nº 732, de </w:t>
      </w:r>
      <w:r w:rsidRPr="00FB4AE0">
        <w:t>2016, o</w:t>
      </w:r>
      <w:r>
        <w:t xml:space="preserve"> que levou o</w:t>
      </w:r>
      <w:r w:rsidRPr="00FB4AE0">
        <w:t xml:space="preserve"> Poder Executi</w:t>
      </w:r>
      <w:r>
        <w:t>vo a encaminhar</w:t>
      </w:r>
      <w:r w:rsidRPr="00FB4AE0">
        <w:t xml:space="preserve"> a este Relator a Nota Técnica</w:t>
      </w:r>
      <w:r>
        <w:t xml:space="preserve"> nº</w:t>
      </w:r>
      <w:r w:rsidRPr="00FB4AE0">
        <w:t xml:space="preserve"> 7914/2016-MP, concluindo</w:t>
      </w:r>
      <w:r>
        <w:t>,</w:t>
      </w:r>
      <w:r w:rsidRPr="00FB4AE0">
        <w:t xml:space="preserve"> em seus parágrafos 21 e 22</w:t>
      </w:r>
      <w:r>
        <w:t>,</w:t>
      </w:r>
      <w:r w:rsidRPr="00FB4AE0">
        <w:t> que a renú</w:t>
      </w:r>
      <w:r>
        <w:t>ncia de receita decorrente da Medida Provisória</w:t>
      </w:r>
      <w:r w:rsidRPr="00FB4AE0">
        <w:t xml:space="preserve"> é da ordem de R$ 90 milhões no exercício de 2016, a ser compensada por medidas de gestão q</w:t>
      </w:r>
      <w:r>
        <w:t xml:space="preserve">ue serão implementadas pela </w:t>
      </w:r>
      <w:r w:rsidRPr="00FB4AE0">
        <w:t>SPU, restando, assim, demonstrada a adequação orçamentária e financeira da MP</w:t>
      </w:r>
      <w:r>
        <w:t xml:space="preserve">V ora em análise, nos termos do </w:t>
      </w:r>
      <w:r w:rsidRPr="00FB4AE0">
        <w:t>art. 113</w:t>
      </w:r>
      <w:r>
        <w:t xml:space="preserve"> da Lei nº 13.242, de 30 de dezembro de 2015</w:t>
      </w:r>
      <w:r w:rsidRPr="00FB4AE0">
        <w:t xml:space="preserve"> (Lei de Dire</w:t>
      </w:r>
      <w:r>
        <w:t xml:space="preserve">trizes Orçamentárias de </w:t>
      </w:r>
      <w:r w:rsidRPr="00FB4AE0">
        <w:t>2016), e</w:t>
      </w:r>
      <w:r>
        <w:t xml:space="preserve"> do art. 14 da Lei Complementar nº 101, de 4 de maio de </w:t>
      </w:r>
      <w:r w:rsidRPr="00FB4AE0">
        <w:t>2000</w:t>
      </w:r>
      <w:r>
        <w:t xml:space="preserve"> (</w:t>
      </w:r>
      <w:r w:rsidRPr="00FB4AE0">
        <w:t>Lei de Responsabilidade Fis</w:t>
      </w:r>
      <w:r>
        <w:t>cal)</w:t>
      </w:r>
      <w:r w:rsidRPr="00FB4AE0">
        <w:t>.</w:t>
      </w:r>
    </w:p>
    <w:p w14:paraId="3BF7E87F" w14:textId="77777777" w:rsidR="00B80999" w:rsidRPr="000346E0" w:rsidRDefault="00B80999" w:rsidP="000346E0">
      <w:pPr>
        <w:pStyle w:val="06-Pargrafodetexto-CLG"/>
      </w:pPr>
      <w:r w:rsidRPr="000346E0">
        <w:t>Quanto à técnica legislativa,</w:t>
      </w:r>
      <w:r w:rsidR="008D0AA4" w:rsidRPr="000346E0">
        <w:t xml:space="preserve"> a Medida Provisória mostra-se em conformidade</w:t>
      </w:r>
      <w:r w:rsidRPr="000346E0">
        <w:t xml:space="preserve"> ao que determina a Lei Complementar nº 95, de 26 de fevereiro de 1998, que dispõe sobre a elaboração, a redação, a alteração e a consolidação das leis.</w:t>
      </w:r>
    </w:p>
    <w:p w14:paraId="309F228F" w14:textId="77777777" w:rsidR="009A5302" w:rsidRPr="000346E0" w:rsidRDefault="009A5302" w:rsidP="000346E0">
      <w:pPr>
        <w:pStyle w:val="06-Pargrafodetexto-CLG"/>
      </w:pPr>
      <w:r w:rsidRPr="000346E0">
        <w:t>Sob o ponto</w:t>
      </w:r>
      <w:r w:rsidR="002C7374">
        <w:t xml:space="preserve"> de vista do mérito, verificamos</w:t>
      </w:r>
      <w:r w:rsidRPr="000346E0">
        <w:t xml:space="preserve"> que a presente Medida Provisória possui um objeto bastante definido, qual seja, limitar a 10,54% o reajuste das receitas patrimoniais decorrentes da atualização da planta de valores para efeito do cálculo do valor do domínio pleno de terreno de propriedade da União, o qual é utilizado para fins de consignação da taxa de ocupação referente a esses imóveis.</w:t>
      </w:r>
    </w:p>
    <w:p w14:paraId="63FD9A4B" w14:textId="77777777" w:rsidR="009A5302" w:rsidRDefault="000346E0" w:rsidP="000346E0">
      <w:pPr>
        <w:pStyle w:val="06-Pargrafodetexto-CLG"/>
      </w:pPr>
      <w:r w:rsidRPr="000346E0">
        <w:t>Essa medida</w:t>
      </w:r>
      <w:r w:rsidR="009A5302" w:rsidRPr="000346E0">
        <w:t xml:space="preserve"> é benéfica aos ocupantes de imóveis da União, pois ainda que a planta de valores genéricos elaborada pelos Municípios e pelo Distrito Federal ou </w:t>
      </w:r>
      <w:proofErr w:type="spellStart"/>
      <w:r w:rsidR="009A5302" w:rsidRPr="000346E0">
        <w:t>a</w:t>
      </w:r>
      <w:proofErr w:type="spellEnd"/>
      <w:r w:rsidR="009A5302" w:rsidRPr="000346E0">
        <w:t xml:space="preserve"> Planilha Referencial de Preços de Terras elaborada pelo Incra autorizem um reajuste mais elevado, a atualização do valor do domínio pleno do terreno de propriedade da União está limitado a 10,54% sobre o valor do trecho correspondente para o exercício de 2015.</w:t>
      </w:r>
    </w:p>
    <w:p w14:paraId="131520FE" w14:textId="77777777" w:rsidR="000346E0" w:rsidRDefault="000346E0" w:rsidP="002C7374">
      <w:pPr>
        <w:pStyle w:val="06-Pargrafodetexto-CLG"/>
      </w:pPr>
      <w:r>
        <w:t>Passemos, agora, à análise das emendas apresentadas à Medida Provisória.</w:t>
      </w:r>
    </w:p>
    <w:p w14:paraId="2C9F5969" w14:textId="77777777" w:rsidR="006502C7" w:rsidRPr="002C7374" w:rsidRDefault="000346E0" w:rsidP="002C7374">
      <w:pPr>
        <w:pStyle w:val="06-Pargrafodetexto-CLG"/>
      </w:pPr>
      <w:r w:rsidRPr="002C7374">
        <w:t xml:space="preserve">Preliminarmente, </w:t>
      </w:r>
      <w:r w:rsidR="006502C7" w:rsidRPr="002C7374">
        <w:t>r</w:t>
      </w:r>
      <w:r w:rsidR="002C7374" w:rsidRPr="002C7374">
        <w:t xml:space="preserve">essaltamos </w:t>
      </w:r>
      <w:r w:rsidR="006502C7" w:rsidRPr="002C7374">
        <w:t>que,</w:t>
      </w:r>
      <w:r w:rsidR="00E53FBA">
        <w:t xml:space="preserve"> das 41 emendas apresentadas, 35</w:t>
      </w:r>
      <w:r w:rsidR="006502C7" w:rsidRPr="002C7374">
        <w:t xml:space="preserve"> contêm matéria estranha ao objeto da Medida Provisória (</w:t>
      </w:r>
      <w:proofErr w:type="spellStart"/>
      <w:r w:rsidR="006502C7" w:rsidRPr="002C7374">
        <w:t>nº</w:t>
      </w:r>
      <w:r w:rsidR="006502C7" w:rsidRPr="0072414D">
        <w:rPr>
          <w:vertAlign w:val="superscript"/>
        </w:rPr>
        <w:t>s</w:t>
      </w:r>
      <w:proofErr w:type="spellEnd"/>
      <w:r w:rsidR="006502C7" w:rsidRPr="002C7374">
        <w:t xml:space="preserve"> 1, 5, 6,</w:t>
      </w:r>
      <w:r w:rsidR="00E53FBA">
        <w:t xml:space="preserve"> 7,</w:t>
      </w:r>
      <w:r w:rsidR="006502C7" w:rsidRPr="002C7374">
        <w:t xml:space="preserve"> 8, 9, 10, 11, 12, 13, 14, 15</w:t>
      </w:r>
      <w:r w:rsidR="00173D56">
        <w:t>, 19, 20, 21, 22, 23, 24, 25,</w:t>
      </w:r>
      <w:r w:rsidR="00E53FBA">
        <w:t xml:space="preserve"> 26,</w:t>
      </w:r>
      <w:r w:rsidR="00173D56">
        <w:t xml:space="preserve"> 27,</w:t>
      </w:r>
      <w:r w:rsidR="00E53FBA">
        <w:t xml:space="preserve"> 28, 29,</w:t>
      </w:r>
      <w:r w:rsidR="00173D56">
        <w:t xml:space="preserve"> 30, 31</w:t>
      </w:r>
      <w:r w:rsidR="00E53FBA">
        <w:t>, 32, 33, 34, 35, 36, 37, 38, 39, 40</w:t>
      </w:r>
      <w:r w:rsidR="00173D56">
        <w:t xml:space="preserve"> </w:t>
      </w:r>
      <w:r w:rsidR="006502C7" w:rsidRPr="002C7374">
        <w:t>e 41), indo de encontro ao disposto no § 4º do art. 4º da Resolução nº 1, de 2002, do Congresso Nacional, bem como ao entendimento assentando pelo Supremo Tribunal Federal no julgamento da Ação Direta de Inconstitucionalidade nº 5.127-DF, cuja ementa se transcreve:</w:t>
      </w:r>
    </w:p>
    <w:p w14:paraId="7835E044" w14:textId="77777777" w:rsidR="000346E0" w:rsidRDefault="006502C7" w:rsidP="006502C7">
      <w:pPr>
        <w:pStyle w:val="08-Citaolegal-ltimalinha-CLG"/>
        <w:ind w:firstLine="0"/>
      </w:pPr>
      <w:r w:rsidRPr="007C1036">
        <w:t xml:space="preserve">DIREITO CONSTITUCIONAL. CONTROLE DE CONSTITUCIONALIDADE. EMENDA PARLAMENTAR EM PROJETO DE CONVERSÃO DE MEDIDA PROVISÓRIA EM LEI. CONTEÚDO TEMÁTICO DISTINTO DAQUELE ORIGINÁRIO DA MEDIDA PROVISÓRIA. PRÁTICA EM DESACORDO COM O PRINCÍPIO DEMOCRÁTICO E COM O DEVIDO PROCESSO LEGAL (DEVIDO PROCESSO LEGISLATIVO). 1. </w:t>
      </w:r>
      <w:r w:rsidRPr="007C1036">
        <w:rPr>
          <w:b/>
        </w:rPr>
        <w:t>Viola a Constituição da República</w:t>
      </w:r>
      <w:r w:rsidRPr="007C1036">
        <w:t>, notadamente o princípio democrático e o devido processo legislativo (</w:t>
      </w:r>
      <w:proofErr w:type="spellStart"/>
      <w:r w:rsidRPr="007C1036">
        <w:t>arts</w:t>
      </w:r>
      <w:proofErr w:type="spellEnd"/>
      <w:r w:rsidRPr="007C1036">
        <w:t xml:space="preserve">. 1º, caput, parágrafo único, 2º, caput, 5º, caput, e LIV, CRFB), </w:t>
      </w:r>
      <w:r w:rsidRPr="007C1036">
        <w:rPr>
          <w:b/>
        </w:rPr>
        <w:t>a prática da inserção, mediante emenda parlamentar no processo legislativo de conversão de medida provisória em lei, de matérias de conteúdo temático estranho ao objeto originário da medida provisória</w:t>
      </w:r>
      <w:r w:rsidRPr="007C1036">
        <w:t>. 2. Em atenção ao princípio da segurança jurídica (art. 1º e 5º, XXXVI, CRFB), mantém-se hígidas todas as leis de conversão fruto dessa prática promulgadas até a data do presente julgamento, inclusive aquela impugnada nesta ação. 3. Ação direta de inconstitucionalidade julgada improcedente por maioria de votos.</w:t>
      </w:r>
      <w:r>
        <w:t xml:space="preserve"> [</w:t>
      </w:r>
      <w:proofErr w:type="gramStart"/>
      <w:r>
        <w:t>grifou</w:t>
      </w:r>
      <w:proofErr w:type="gramEnd"/>
      <w:r>
        <w:t>-se]</w:t>
      </w:r>
    </w:p>
    <w:p w14:paraId="45E989B6" w14:textId="77777777" w:rsidR="006502C7" w:rsidRDefault="006502C7" w:rsidP="006502C7">
      <w:pPr>
        <w:pStyle w:val="06-Pargrafodetexto-CLG"/>
      </w:pPr>
      <w:r>
        <w:t>Por essa razão, opinamos pelo não acolhimento dessas emendas, restando prejudicada, assim, a análise do mérito das alterações nelas propostas, o que, cumpre lembrar, não inviabiliza a sua propositura por meio de projeto de lei autônomo, observados os preceitos do</w:t>
      </w:r>
      <w:r w:rsidR="002C7374">
        <w:t xml:space="preserve"> Regimento Interno de cada Casa Legislativa.</w:t>
      </w:r>
    </w:p>
    <w:p w14:paraId="2B54F272" w14:textId="77777777" w:rsidR="002C7374" w:rsidRDefault="002C7374" w:rsidP="006502C7">
      <w:pPr>
        <w:pStyle w:val="06-Pargrafodetexto-CLG"/>
      </w:pPr>
      <w:r>
        <w:t>Quanto às emendas restantes, manifestamo-nos no seguinte sentido:</w:t>
      </w:r>
    </w:p>
    <w:p w14:paraId="74E5C565" w14:textId="77777777" w:rsidR="002C7374" w:rsidRDefault="002C7374" w:rsidP="006502C7">
      <w:pPr>
        <w:pStyle w:val="06-Pargrafodetexto-CLG"/>
      </w:pPr>
      <w:r>
        <w:t>1. A Emenda nº 2, de autoria do Senador LASIER MARTINS, a</w:t>
      </w:r>
      <w:r w:rsidRPr="002C7374">
        <w:t>utoriza o ressarcimento imediato a quem comprove o pagamento, em cota única, da taxa de ocupação cujo vencimento inicial se deu anteriormente ao dia 10 de junho de 2016.</w:t>
      </w:r>
    </w:p>
    <w:p w14:paraId="2DD2A68F" w14:textId="77777777" w:rsidR="00B90993" w:rsidRPr="00B90993" w:rsidRDefault="00B90993" w:rsidP="00B90993">
      <w:pPr>
        <w:pStyle w:val="06-Pargrafodetexto-CLG"/>
      </w:pPr>
      <w:r>
        <w:t>A</w:t>
      </w:r>
      <w:r w:rsidRPr="00B90993">
        <w:t xml:space="preserve"> devolução dos valores pagos a maior pelo cidadão é um processo conduzido diretamente pela Receita Federal do Brasil</w:t>
      </w:r>
      <w:r>
        <w:t xml:space="preserve"> (RFB)</w:t>
      </w:r>
      <w:r w:rsidRPr="00B90993">
        <w:t>, precedido de análise da eventual compensação de débitos próprios, vencidos ou vincendos, relativos a tributos administrados pela RFB, diante da possibilidade de existência de débitos pendentes do usuário junto àquela instituição, nos moldes do Decreto</w:t>
      </w:r>
      <w:r>
        <w:t xml:space="preserve"> nº 2.138, de 29 de janeiro de </w:t>
      </w:r>
      <w:r w:rsidRPr="00B90993">
        <w:t>1997</w:t>
      </w:r>
      <w:r>
        <w:t>,</w:t>
      </w:r>
      <w:r w:rsidRPr="00B90993">
        <w:t xml:space="preserve"> e da Instrução Normativa RFB </w:t>
      </w:r>
      <w:r>
        <w:t xml:space="preserve">nº 1.300, de 20 de novembro de </w:t>
      </w:r>
      <w:r w:rsidRPr="00B90993">
        <w:t xml:space="preserve">2012. </w:t>
      </w:r>
    </w:p>
    <w:p w14:paraId="054C80F6" w14:textId="77777777" w:rsidR="00B90993" w:rsidRPr="00B90993" w:rsidRDefault="00B90993" w:rsidP="00B90993">
      <w:pPr>
        <w:pStyle w:val="06-Pargrafodetexto-CLG"/>
      </w:pPr>
      <w:r w:rsidRPr="00B90993">
        <w:t xml:space="preserve">Dessa forma, e objetivando o cumprimento do contido nos </w:t>
      </w:r>
      <w:r>
        <w:t xml:space="preserve">atos </w:t>
      </w:r>
      <w:r w:rsidRPr="00B90993">
        <w:t xml:space="preserve">normativos </w:t>
      </w:r>
      <w:r>
        <w:t>supraci</w:t>
      </w:r>
      <w:r w:rsidRPr="00B90993">
        <w:t xml:space="preserve">tados, </w:t>
      </w:r>
      <w:r>
        <w:t>restaria</w:t>
      </w:r>
      <w:r w:rsidRPr="00B90993">
        <w:t xml:space="preserve"> prejudicada qualquer tratativa de se efetuar o ressarcimento imediato dos valores eventualmente recolhidos a maior, diante da necessidade de se analisar, caso a caso, a existência de débitos a compensar sob responsabilidade do usuário que efetuou o pagamento da cota única das taxas patrimoniais, antes da promulgação da MP</w:t>
      </w:r>
      <w:r>
        <w:t>V nº</w:t>
      </w:r>
      <w:r w:rsidRPr="00B90993">
        <w:t xml:space="preserve"> 732.</w:t>
      </w:r>
    </w:p>
    <w:p w14:paraId="62FC1C01" w14:textId="77777777" w:rsidR="00A32C5E" w:rsidRDefault="00A32C5E" w:rsidP="006502C7">
      <w:pPr>
        <w:pStyle w:val="06-Pargrafodetexto-CLG"/>
      </w:pPr>
      <w:r>
        <w:t>Pro</w:t>
      </w:r>
      <w:r w:rsidR="006F7D09">
        <w:t xml:space="preserve">pomos </w:t>
      </w:r>
      <w:r w:rsidR="00E53FBA">
        <w:t>a rejeição</w:t>
      </w:r>
      <w:r w:rsidR="006F7D09">
        <w:t xml:space="preserve"> desta</w:t>
      </w:r>
      <w:r>
        <w:t xml:space="preserve"> Emenda.</w:t>
      </w:r>
    </w:p>
    <w:p w14:paraId="7CCB4CDE" w14:textId="77777777" w:rsidR="002C7374" w:rsidRDefault="002C7374" w:rsidP="006502C7">
      <w:pPr>
        <w:pStyle w:val="06-Pargrafodetexto-CLG"/>
      </w:pPr>
      <w:r>
        <w:t xml:space="preserve">2. </w:t>
      </w:r>
      <w:r w:rsidR="00A32C5E">
        <w:t>A Emenda nº 3, de autoria do Deputado JOÃO PAULO PAPA, l</w:t>
      </w:r>
      <w:r w:rsidR="00A32C5E" w:rsidRPr="00A32C5E">
        <w:t>imita a atualização da base de cálculo da taxa de ocupação ao índice inflacionário do período, medido pelo IGPM/FGV, aplicável aos imóveis destinados a uso residencial localizados em áreas urbanas e rurais.</w:t>
      </w:r>
    </w:p>
    <w:p w14:paraId="1E50E02E" w14:textId="77777777" w:rsidR="00B90993" w:rsidRDefault="00B90993" w:rsidP="00B90993">
      <w:pPr>
        <w:pStyle w:val="06-Pargrafodetexto-CLG"/>
      </w:pPr>
      <w:r>
        <w:t>Esta Emenda, na forma proposta, pode vir a penalizar os ocupantes de imóveis da União, que em um cenário de elevação inflacionária teriam de arcar com uma elevação substancial nas taxas patrimoniais sem o consequente ajuste no valor dos bens ocupados, o que fere o princípio da razoabilidade.</w:t>
      </w:r>
    </w:p>
    <w:p w14:paraId="1FB4FE2F" w14:textId="77777777" w:rsidR="00A32C5E" w:rsidRDefault="00A32C5E" w:rsidP="006502C7">
      <w:pPr>
        <w:pStyle w:val="06-Pargrafodetexto-CLG"/>
      </w:pPr>
      <w:r>
        <w:t xml:space="preserve">Propomos </w:t>
      </w:r>
      <w:r w:rsidR="00E53FBA">
        <w:t>a rejeição</w:t>
      </w:r>
      <w:r w:rsidR="006F7D09">
        <w:t xml:space="preserve"> desta</w:t>
      </w:r>
      <w:r>
        <w:t xml:space="preserve"> Emenda.</w:t>
      </w:r>
    </w:p>
    <w:p w14:paraId="7D8810C3" w14:textId="77777777" w:rsidR="00A32C5E" w:rsidRDefault="00A32C5E" w:rsidP="006502C7">
      <w:pPr>
        <w:pStyle w:val="06-Pargrafodetexto-CLG"/>
      </w:pPr>
      <w:r>
        <w:t>3. A Emenda nº 4, do Senador EDUARDO AMORIM, l</w:t>
      </w:r>
      <w:r w:rsidRPr="00A32C5E">
        <w:t xml:space="preserve">imita a 1% o reajuste constante do </w:t>
      </w:r>
      <w:r w:rsidRPr="00A32C5E">
        <w:rPr>
          <w:i/>
        </w:rPr>
        <w:t>caput</w:t>
      </w:r>
      <w:r w:rsidRPr="00A32C5E">
        <w:t xml:space="preserve"> do art. 1º da Medida Provisória.</w:t>
      </w:r>
    </w:p>
    <w:p w14:paraId="67F7F1D0" w14:textId="77777777" w:rsidR="00A32C5E" w:rsidRDefault="00772331" w:rsidP="006502C7">
      <w:pPr>
        <w:pStyle w:val="06-Pargrafodetexto-CLG"/>
      </w:pPr>
      <w:r>
        <w:t>A E</w:t>
      </w:r>
      <w:r w:rsidR="00A32C5E" w:rsidRPr="00A32C5E">
        <w:t>menda, em princípio, pode</w:t>
      </w:r>
      <w:r w:rsidR="00A32C5E">
        <w:t>ria</w:t>
      </w:r>
      <w:r w:rsidR="00A32C5E" w:rsidRPr="00A32C5E">
        <w:t xml:space="preserve"> beneficiar </w:t>
      </w:r>
      <w:r w:rsidR="00A32C5E">
        <w:t>os ocupantes de</w:t>
      </w:r>
      <w:r w:rsidR="00A32C5E" w:rsidRPr="00A32C5E">
        <w:t xml:space="preserve"> imóveis objeto da Medida Provisó</w:t>
      </w:r>
      <w:r w:rsidR="00A32C5E">
        <w:t>ria, por reduzir o percentual a</w:t>
      </w:r>
      <w:r w:rsidR="00A32C5E" w:rsidRPr="00A32C5E">
        <w:t>plicável para fins de reajuste da taxa de ocupação</w:t>
      </w:r>
      <w:r w:rsidR="00A32C5E">
        <w:t xml:space="preserve">. Não obstante, o percentual sugerido carece de razoabilidade, inviabilizando, na prática, o reajuste dos valores </w:t>
      </w:r>
      <w:r w:rsidR="006F7D09">
        <w:t>utilizados como base para o cálculo da taxa de ocupação.</w:t>
      </w:r>
    </w:p>
    <w:p w14:paraId="2E04A4D6" w14:textId="77777777" w:rsidR="006F7D09" w:rsidRDefault="006F7D09" w:rsidP="006502C7">
      <w:pPr>
        <w:pStyle w:val="06-Pargrafodetexto-CLG"/>
      </w:pPr>
      <w:r>
        <w:t>Propomos a rejeição desta Emenda.</w:t>
      </w:r>
    </w:p>
    <w:p w14:paraId="03346B48" w14:textId="77777777" w:rsidR="00A32C5E" w:rsidRDefault="00E53FBA" w:rsidP="006502C7">
      <w:pPr>
        <w:pStyle w:val="06-Pargrafodetexto-CLG"/>
      </w:pPr>
      <w:r>
        <w:t>4</w:t>
      </w:r>
      <w:r w:rsidR="00A32C5E">
        <w:t xml:space="preserve">. A Emenda nº 16, do Senador ROBERTO MUNIZ, </w:t>
      </w:r>
      <w:r w:rsidR="006F7D09">
        <w:t>a</w:t>
      </w:r>
      <w:r w:rsidR="006F7D09" w:rsidRPr="006F7D09">
        <w:t>umenta de 6 para 12 o número de cotas mensais previstas no art. 1º, § 2º, da MPV nº 732, reduzindo seu valor mínimo de 100 para 50 reais.</w:t>
      </w:r>
    </w:p>
    <w:p w14:paraId="0D044BDA" w14:textId="5FEA9CE2" w:rsidR="00FA6CA0" w:rsidRDefault="00B90993" w:rsidP="006502C7">
      <w:pPr>
        <w:pStyle w:val="06-Pargrafodetexto-CLG"/>
      </w:pPr>
      <w:r w:rsidRPr="00B90993">
        <w:t xml:space="preserve">A alteração da quantidade de parcelas para 12 cotas seria inviável, visto que extrapolaria o exercício fiscal referente ao recolhimento das referidas taxas patrimoniais, contrariando os preceitos básicos para o estabelecimento do processo orçamentário, definidos por </w:t>
      </w:r>
      <w:r w:rsidR="00FA6CA0">
        <w:t>intermédio da Lei</w:t>
      </w:r>
      <w:r w:rsidR="005E5F0C">
        <w:t xml:space="preserve"> nº</w:t>
      </w:r>
      <w:r w:rsidR="00FA6CA0">
        <w:t xml:space="preserve"> 13.242, de 30 de dezembro de </w:t>
      </w:r>
      <w:r w:rsidRPr="00B90993">
        <w:t>2015</w:t>
      </w:r>
      <w:r w:rsidR="00FA6CA0">
        <w:t>.</w:t>
      </w:r>
    </w:p>
    <w:p w14:paraId="78DEA17E" w14:textId="77777777" w:rsidR="006F7D09" w:rsidRDefault="00E53FBA" w:rsidP="006502C7">
      <w:pPr>
        <w:pStyle w:val="06-Pargrafodetexto-CLG"/>
      </w:pPr>
      <w:r>
        <w:t xml:space="preserve">Propomos a rejeição </w:t>
      </w:r>
      <w:r w:rsidR="006F7D09">
        <w:t>desta Emenda.</w:t>
      </w:r>
    </w:p>
    <w:p w14:paraId="0FE6518F" w14:textId="77777777" w:rsidR="006F7D09" w:rsidRDefault="00E53FBA" w:rsidP="006502C7">
      <w:pPr>
        <w:pStyle w:val="06-Pargrafodetexto-CLG"/>
      </w:pPr>
      <w:r>
        <w:t>5</w:t>
      </w:r>
      <w:r w:rsidR="006F7D09">
        <w:t>. A Emenda nº 17, do Deputado SÉRGIO VIDIGAL, possui o m</w:t>
      </w:r>
      <w:r w:rsidR="006F7D09" w:rsidRPr="006F7D09">
        <w:t>esmo objeto da Emenda nº 2, mas altera a previsão de ressarcimento imediato e o transfere para o ano subsequente ao pagamento.</w:t>
      </w:r>
    </w:p>
    <w:p w14:paraId="11D389C8" w14:textId="77777777" w:rsidR="00E53FBA" w:rsidRDefault="006F7D09" w:rsidP="006502C7">
      <w:pPr>
        <w:pStyle w:val="06-Pargrafodetexto-CLG"/>
      </w:pPr>
      <w:r>
        <w:t>Propomos a rejeição desta Emenda</w:t>
      </w:r>
      <w:r w:rsidR="00E53FBA">
        <w:t>.</w:t>
      </w:r>
    </w:p>
    <w:p w14:paraId="7B598549" w14:textId="77777777" w:rsidR="006F7D09" w:rsidRDefault="00E53FBA" w:rsidP="006502C7">
      <w:pPr>
        <w:pStyle w:val="06-Pargrafodetexto-CLG"/>
      </w:pPr>
      <w:r>
        <w:t>6</w:t>
      </w:r>
      <w:r w:rsidR="00A73C0D">
        <w:t>. A E</w:t>
      </w:r>
      <w:r w:rsidR="006F7D09">
        <w:t>menda nº 18, do Deputado SÉRGIO VIDIGAL, possui o m</w:t>
      </w:r>
      <w:r w:rsidR="006F7D09" w:rsidRPr="006F7D09">
        <w:t>esmo objeto da Emenda nº 2, mas determina o ressarcimento com juros e correção monetária.</w:t>
      </w:r>
    </w:p>
    <w:p w14:paraId="345B343C" w14:textId="77777777" w:rsidR="006F7D09" w:rsidRDefault="006F7D09" w:rsidP="006502C7">
      <w:pPr>
        <w:pStyle w:val="06-Pargrafodetexto-CLG"/>
      </w:pPr>
      <w:r>
        <w:t xml:space="preserve">Propomos </w:t>
      </w:r>
      <w:r w:rsidR="00E53FBA">
        <w:t>a rejeição</w:t>
      </w:r>
      <w:r>
        <w:t xml:space="preserve"> desta Emenda.</w:t>
      </w:r>
    </w:p>
    <w:p w14:paraId="11C20B5A" w14:textId="77777777" w:rsidR="007A71A1" w:rsidRDefault="007A71A1" w:rsidP="006502C7">
      <w:pPr>
        <w:pStyle w:val="06-Pargrafodetexto-CLG"/>
      </w:pPr>
    </w:p>
    <w:p w14:paraId="29EFBF3C" w14:textId="77777777" w:rsidR="00A85ECB" w:rsidRDefault="00A85ECB" w:rsidP="00A85ECB">
      <w:pPr>
        <w:pStyle w:val="05-Subttulo-CLG"/>
      </w:pPr>
      <w:r>
        <w:t>III – VOTO</w:t>
      </w:r>
    </w:p>
    <w:p w14:paraId="6D8827AD" w14:textId="77777777" w:rsidR="00A85ECB" w:rsidRDefault="00AE3D91" w:rsidP="00A85ECB">
      <w:pPr>
        <w:pStyle w:val="06-Pargrafodetexto-CLG"/>
      </w:pPr>
      <w:r>
        <w:t>Pelo exposto, votamos pela</w:t>
      </w:r>
      <w:r w:rsidR="0072414D">
        <w:t xml:space="preserve"> </w:t>
      </w:r>
      <w:r w:rsidR="0072414D">
        <w:rPr>
          <w:b/>
        </w:rPr>
        <w:t>aprovação</w:t>
      </w:r>
      <w:r w:rsidR="0072414D">
        <w:t xml:space="preserve"> da Medida Provisória nº 732, de 2016</w:t>
      </w:r>
      <w:r w:rsidR="00C82F8D">
        <w:t>,</w:t>
      </w:r>
      <w:r w:rsidR="00FA6CA0">
        <w:t xml:space="preserve"> e pela </w:t>
      </w:r>
      <w:r w:rsidR="00FA6CA0" w:rsidRPr="00C82F8D">
        <w:rPr>
          <w:b/>
        </w:rPr>
        <w:t>rejeição</w:t>
      </w:r>
      <w:r w:rsidR="00FA6CA0">
        <w:t xml:space="preserve"> de todas as emendas apresentadas.</w:t>
      </w:r>
    </w:p>
    <w:p w14:paraId="1B67119C" w14:textId="77777777" w:rsidR="00A85ECB" w:rsidRDefault="00C218D0" w:rsidP="00A85ECB">
      <w:pPr>
        <w:pStyle w:val="10-Local-CLG"/>
      </w:pPr>
      <w:r>
        <w:t>Sala da Comissão,</w:t>
      </w:r>
    </w:p>
    <w:p w14:paraId="5C1B4797" w14:textId="77777777" w:rsidR="00A85ECB" w:rsidRPr="00724990" w:rsidRDefault="00A85ECB" w:rsidP="00A85ECB">
      <w:pPr>
        <w:pStyle w:val="11-Assinaturas-CLG"/>
      </w:pPr>
      <w:r>
        <w:t>, Presidente</w:t>
      </w:r>
    </w:p>
    <w:p w14:paraId="1D96555B" w14:textId="77777777" w:rsidR="00A85ECB" w:rsidRDefault="00BA49FB" w:rsidP="00A85ECB">
      <w:pPr>
        <w:pStyle w:val="11-Assinaturas-CLG"/>
      </w:pPr>
      <w:r>
        <w:t>, Relator</w:t>
      </w:r>
    </w:p>
    <w:sectPr w:rsidR="00A85ECB" w:rsidSect="002D5EEE">
      <w:headerReference w:type="even" r:id="rId6"/>
      <w:headerReference w:type="default" r:id="rId7"/>
      <w:footerReference w:type="first" r:id="rId8"/>
      <w:pgSz w:w="11906" w:h="16838"/>
      <w:pgMar w:top="2836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A9340D" w14:textId="77777777" w:rsidR="00203A68" w:rsidRDefault="00203A68" w:rsidP="00A85ECB">
      <w:pPr>
        <w:spacing w:after="0" w:line="240" w:lineRule="auto"/>
      </w:pPr>
      <w:r>
        <w:separator/>
      </w:r>
    </w:p>
  </w:endnote>
  <w:endnote w:type="continuationSeparator" w:id="0">
    <w:p w14:paraId="2BFF5F81" w14:textId="77777777" w:rsidR="00203A68" w:rsidRDefault="00203A68" w:rsidP="00A8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326ED7" w14:textId="77777777" w:rsidR="00D11C2C" w:rsidRPr="00342E7D" w:rsidRDefault="00385A9D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6BC461" w14:textId="77777777" w:rsidR="00203A68" w:rsidRDefault="00203A68" w:rsidP="00A85ECB">
      <w:pPr>
        <w:spacing w:after="0" w:line="240" w:lineRule="auto"/>
      </w:pPr>
      <w:r>
        <w:separator/>
      </w:r>
    </w:p>
  </w:footnote>
  <w:footnote w:type="continuationSeparator" w:id="0">
    <w:p w14:paraId="3A86DAAF" w14:textId="77777777" w:rsidR="00203A68" w:rsidRDefault="00203A68" w:rsidP="00A8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1D0166" w14:textId="77777777" w:rsidR="00D11C2C" w:rsidRDefault="0003485E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CB5E06" w14:textId="77777777" w:rsidR="00D11C2C" w:rsidRDefault="00707078">
    <w:pPr>
      <w:pStyle w:val="Cabealho"/>
      <w:ind w:right="360"/>
    </w:pPr>
  </w:p>
  <w:p w14:paraId="23E30052" w14:textId="77777777" w:rsidR="00D11C2C" w:rsidRDefault="0070707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3076B" w14:textId="310FC1F6" w:rsidR="00D11C2C" w:rsidRDefault="0003485E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07078"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251098DF" w14:textId="77777777" w:rsidR="00D11C2C" w:rsidRDefault="00707078">
    <w:pPr>
      <w:pStyle w:val="Cabealho"/>
      <w:ind w:right="360"/>
    </w:pPr>
  </w:p>
  <w:p w14:paraId="08C56660" w14:textId="77777777" w:rsidR="00D11C2C" w:rsidRDefault="0070707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CB"/>
    <w:rsid w:val="000127C6"/>
    <w:rsid w:val="00030C4D"/>
    <w:rsid w:val="000346E0"/>
    <w:rsid w:val="0003485E"/>
    <w:rsid w:val="000511FC"/>
    <w:rsid w:val="00055CBB"/>
    <w:rsid w:val="0007300D"/>
    <w:rsid w:val="000B2EAC"/>
    <w:rsid w:val="000C537F"/>
    <w:rsid w:val="000F1876"/>
    <w:rsid w:val="00110B7E"/>
    <w:rsid w:val="001234EB"/>
    <w:rsid w:val="0014058C"/>
    <w:rsid w:val="001448E7"/>
    <w:rsid w:val="00150A1A"/>
    <w:rsid w:val="0017028B"/>
    <w:rsid w:val="00172E57"/>
    <w:rsid w:val="00173D56"/>
    <w:rsid w:val="00191363"/>
    <w:rsid w:val="0019646D"/>
    <w:rsid w:val="001B7D14"/>
    <w:rsid w:val="001E150D"/>
    <w:rsid w:val="001E2F5E"/>
    <w:rsid w:val="001F7438"/>
    <w:rsid w:val="002029DB"/>
    <w:rsid w:val="00203A68"/>
    <w:rsid w:val="0024236F"/>
    <w:rsid w:val="002B722A"/>
    <w:rsid w:val="002C7374"/>
    <w:rsid w:val="002D5EEE"/>
    <w:rsid w:val="002F08FB"/>
    <w:rsid w:val="002F7168"/>
    <w:rsid w:val="003327A7"/>
    <w:rsid w:val="003630F1"/>
    <w:rsid w:val="00371763"/>
    <w:rsid w:val="00373880"/>
    <w:rsid w:val="00383BE4"/>
    <w:rsid w:val="00385A9D"/>
    <w:rsid w:val="003B6BA9"/>
    <w:rsid w:val="003C2520"/>
    <w:rsid w:val="003C5949"/>
    <w:rsid w:val="003F26F7"/>
    <w:rsid w:val="003F4A02"/>
    <w:rsid w:val="003F63B4"/>
    <w:rsid w:val="003F676A"/>
    <w:rsid w:val="003F695A"/>
    <w:rsid w:val="00421912"/>
    <w:rsid w:val="004254A4"/>
    <w:rsid w:val="00453262"/>
    <w:rsid w:val="0048265E"/>
    <w:rsid w:val="00493B04"/>
    <w:rsid w:val="004A00CE"/>
    <w:rsid w:val="004C1423"/>
    <w:rsid w:val="004D4188"/>
    <w:rsid w:val="004E01B3"/>
    <w:rsid w:val="004E4DD5"/>
    <w:rsid w:val="004E79DE"/>
    <w:rsid w:val="0050661C"/>
    <w:rsid w:val="005079CB"/>
    <w:rsid w:val="005427DE"/>
    <w:rsid w:val="0055336D"/>
    <w:rsid w:val="0056261F"/>
    <w:rsid w:val="0059291D"/>
    <w:rsid w:val="00592944"/>
    <w:rsid w:val="005C05C9"/>
    <w:rsid w:val="005C0FDC"/>
    <w:rsid w:val="005C394F"/>
    <w:rsid w:val="005C4E3E"/>
    <w:rsid w:val="005E5F0C"/>
    <w:rsid w:val="005F66EF"/>
    <w:rsid w:val="00602978"/>
    <w:rsid w:val="006502C7"/>
    <w:rsid w:val="00666B40"/>
    <w:rsid w:val="0069649D"/>
    <w:rsid w:val="006B2AD4"/>
    <w:rsid w:val="006C2BAC"/>
    <w:rsid w:val="006F7D09"/>
    <w:rsid w:val="00706907"/>
    <w:rsid w:val="00707078"/>
    <w:rsid w:val="007207AA"/>
    <w:rsid w:val="0072414D"/>
    <w:rsid w:val="0072498E"/>
    <w:rsid w:val="00747285"/>
    <w:rsid w:val="00760EC2"/>
    <w:rsid w:val="00772331"/>
    <w:rsid w:val="007731B3"/>
    <w:rsid w:val="00786E12"/>
    <w:rsid w:val="00796409"/>
    <w:rsid w:val="007A22C4"/>
    <w:rsid w:val="007A71A1"/>
    <w:rsid w:val="007A7A04"/>
    <w:rsid w:val="007B2D0E"/>
    <w:rsid w:val="007F6C25"/>
    <w:rsid w:val="00800E94"/>
    <w:rsid w:val="00806347"/>
    <w:rsid w:val="008707F5"/>
    <w:rsid w:val="0088033E"/>
    <w:rsid w:val="008D0AA4"/>
    <w:rsid w:val="008D22A3"/>
    <w:rsid w:val="008E59AC"/>
    <w:rsid w:val="008F6940"/>
    <w:rsid w:val="008F7687"/>
    <w:rsid w:val="00906AA8"/>
    <w:rsid w:val="00924A05"/>
    <w:rsid w:val="00930F7C"/>
    <w:rsid w:val="009434F3"/>
    <w:rsid w:val="00945CCB"/>
    <w:rsid w:val="00953FED"/>
    <w:rsid w:val="00957CF0"/>
    <w:rsid w:val="009A1286"/>
    <w:rsid w:val="009A5302"/>
    <w:rsid w:val="009C0153"/>
    <w:rsid w:val="00A070DD"/>
    <w:rsid w:val="00A32C5E"/>
    <w:rsid w:val="00A423A0"/>
    <w:rsid w:val="00A6054C"/>
    <w:rsid w:val="00A63226"/>
    <w:rsid w:val="00A73C0D"/>
    <w:rsid w:val="00A85ECB"/>
    <w:rsid w:val="00A96B59"/>
    <w:rsid w:val="00AE3D91"/>
    <w:rsid w:val="00B24CA1"/>
    <w:rsid w:val="00B26EDC"/>
    <w:rsid w:val="00B44A19"/>
    <w:rsid w:val="00B5322A"/>
    <w:rsid w:val="00B57CDF"/>
    <w:rsid w:val="00B80999"/>
    <w:rsid w:val="00B90993"/>
    <w:rsid w:val="00BA49FB"/>
    <w:rsid w:val="00BB7CA4"/>
    <w:rsid w:val="00BD11FA"/>
    <w:rsid w:val="00C140CA"/>
    <w:rsid w:val="00C14DD1"/>
    <w:rsid w:val="00C218D0"/>
    <w:rsid w:val="00C21D0C"/>
    <w:rsid w:val="00C54477"/>
    <w:rsid w:val="00C82F8D"/>
    <w:rsid w:val="00C86850"/>
    <w:rsid w:val="00CD7493"/>
    <w:rsid w:val="00CF4AAD"/>
    <w:rsid w:val="00D20B94"/>
    <w:rsid w:val="00DA168B"/>
    <w:rsid w:val="00DD04BB"/>
    <w:rsid w:val="00DD39B6"/>
    <w:rsid w:val="00DE6FF3"/>
    <w:rsid w:val="00E22AC2"/>
    <w:rsid w:val="00E241F7"/>
    <w:rsid w:val="00E27854"/>
    <w:rsid w:val="00E4546F"/>
    <w:rsid w:val="00E53FBA"/>
    <w:rsid w:val="00E821B3"/>
    <w:rsid w:val="00E974BD"/>
    <w:rsid w:val="00EA23E2"/>
    <w:rsid w:val="00EB5059"/>
    <w:rsid w:val="00EC05B2"/>
    <w:rsid w:val="00ED38EE"/>
    <w:rsid w:val="00EE48AE"/>
    <w:rsid w:val="00F00503"/>
    <w:rsid w:val="00F203FA"/>
    <w:rsid w:val="00F56077"/>
    <w:rsid w:val="00F7186C"/>
    <w:rsid w:val="00FA009E"/>
    <w:rsid w:val="00FA22FA"/>
    <w:rsid w:val="00FA6CA0"/>
    <w:rsid w:val="00FB22E4"/>
    <w:rsid w:val="00FB4AE0"/>
    <w:rsid w:val="00FE2D41"/>
    <w:rsid w:val="00FE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E2B59"/>
  <w15:docId w15:val="{13583668-52ED-48D7-9F87-6B18E0819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E278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E278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E2785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unhideWhenUsed/>
    <w:rsid w:val="00A85ECB"/>
  </w:style>
  <w:style w:type="paragraph" w:customStyle="1" w:styleId="01-Minuta-CLG">
    <w:name w:val="01 - Minuta - CLG"/>
    <w:link w:val="01-Minuta-CLGChar"/>
    <w:rsid w:val="00A85ECB"/>
    <w:pPr>
      <w:spacing w:after="18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rsid w:val="00A85ECB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character" w:customStyle="1" w:styleId="03-Ementa-CLGCharChar">
    <w:name w:val="03 - Ementa - CLG Char Char"/>
    <w:basedOn w:val="Fontepargpadro"/>
    <w:link w:val="03-Ementa-CLG"/>
    <w:rsid w:val="00A85ECB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04-Relatoria-CLG">
    <w:name w:val="04 - Relatoria - CLG"/>
    <w:link w:val="04-Relatoria-CLGChar"/>
    <w:rsid w:val="00A85ECB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next w:val="06-Pargrafodetexto-CLG"/>
    <w:link w:val="05-Subttulo-CLGChar"/>
    <w:qFormat/>
    <w:rsid w:val="008F7687"/>
    <w:pPr>
      <w:keepNext/>
      <w:keepLines/>
      <w:spacing w:after="48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6-Pargrafodetexto-CLG">
    <w:name w:val="06 - Parágrafo de texto - CLG"/>
    <w:link w:val="06-Pargrafodetexto-CLGChar"/>
    <w:qFormat/>
    <w:rsid w:val="00A85ECB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1-Minuta-CLGChar">
    <w:name w:val="01 - Minuta - CLG Char"/>
    <w:basedOn w:val="Fontepargpadro"/>
    <w:link w:val="01-Minuta-CLG"/>
    <w:rsid w:val="00A85EC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0-Local-CLG">
    <w:name w:val="10 - Local - CLG"/>
    <w:link w:val="10-Local-CLGChar"/>
    <w:rsid w:val="00A85ECB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A85ECB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2-TtuloPrincipal-CLGChar">
    <w:name w:val="02 - Título Principal - CLG Char"/>
    <w:basedOn w:val="Fontepargpadro"/>
    <w:link w:val="02-TtuloPrincipal-CLG"/>
    <w:rsid w:val="00A85ECB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4-Relatoria-CLGChar">
    <w:name w:val="04 - Relatoria - CLG Char"/>
    <w:basedOn w:val="Fontepargpadro"/>
    <w:link w:val="04-Relatoria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Subttulo-CLGChar">
    <w:name w:val="05 - Subtítulo - CLG Char"/>
    <w:basedOn w:val="Fontepargpadro"/>
    <w:link w:val="05-Subttulo-CLG"/>
    <w:rsid w:val="008F768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basedOn w:val="Fontepargpadro"/>
    <w:link w:val="10-Local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basedOn w:val="Fontepargpadro"/>
    <w:link w:val="11-Assinaturas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Citaolegal-CLG">
    <w:name w:val="07 - Citação legal - CLG"/>
    <w:qFormat/>
    <w:rsid w:val="00A85ECB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8-Citaolegal-ltimalinha-CLG">
    <w:name w:val="08 - Citação legal - última linha - CLG"/>
    <w:qFormat/>
    <w:rsid w:val="00A85ECB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9-Ttuloemenda-CLG">
    <w:name w:val="09 - Título emenda - CLG"/>
    <w:next w:val="06-Pargrafodetexto-CLG"/>
    <w:qFormat/>
    <w:rsid w:val="007731B3"/>
    <w:pPr>
      <w:keepNext/>
      <w:keepLines/>
      <w:spacing w:before="480" w:after="360" w:line="240" w:lineRule="auto"/>
      <w:jc w:val="center"/>
    </w:pPr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  <w:style w:type="paragraph" w:customStyle="1" w:styleId="02-EmentaEstudoNota-CLG">
    <w:name w:val="02 - Ementa Estudo Nota - CLG"/>
    <w:link w:val="02-EmentaEstudoNota-CLGChar"/>
    <w:rsid w:val="00DD04BB"/>
    <w:pPr>
      <w:spacing w:after="1200" w:line="240" w:lineRule="auto"/>
      <w:ind w:left="368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4-PargrafodetextoEstudoNotas-CLG">
    <w:name w:val="04 - Parágrafo de texto Estudo Notas - CLG"/>
    <w:link w:val="04-PargrafodetextoEstudoNotas-CLGChar"/>
    <w:qFormat/>
    <w:rsid w:val="00DD04BB"/>
    <w:pPr>
      <w:spacing w:after="360" w:line="36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2-EmentaEstudoNota-CLGChar">
    <w:name w:val="02 - Ementa Estudo Nota - CLG Char"/>
    <w:link w:val="02-EmentaEstudoNota-CLG"/>
    <w:locked/>
    <w:rsid w:val="00DD04B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04-PargrafodetextoEstudoNotas-CLGChar">
    <w:name w:val="04 - Parágrafo de texto Estudo Notas - CLG Char"/>
    <w:link w:val="04-PargrafodetextoEstudoNotas-CLG"/>
    <w:locked/>
    <w:rsid w:val="00DD04B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6-Citaolegal-linhafinal-CLG">
    <w:name w:val="06 - Citação legal - linha final - CLG"/>
    <w:qFormat/>
    <w:rsid w:val="00DD04BB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5-Pargrafodetexto-CLG">
    <w:name w:val="05 - Parágrafo de texto - CLG"/>
    <w:link w:val="05-Pargrafodetexto-CLGChar"/>
    <w:rsid w:val="000346E0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3-Ementa-CLGChar">
    <w:name w:val="03 - Ementa - CLG Char"/>
    <w:basedOn w:val="Fontepargpadro"/>
    <w:rsid w:val="000346E0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05-Pargrafodetexto-CLGChar">
    <w:name w:val="05 - Parágrafo de texto - CLG Char"/>
    <w:basedOn w:val="Fontepargpadro"/>
    <w:link w:val="05-Pargrafodetexto-CLG"/>
    <w:rsid w:val="000346E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172E5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72E5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72E5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72E5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72E57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2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2E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3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7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024885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87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43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829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72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509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7346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290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458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57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289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439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176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522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48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431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1943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899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4370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207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909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920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207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1336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44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462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961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856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998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748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7458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22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336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6044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0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1937</Words>
  <Characters>10462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12375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conleg@senado.leg.br</dc:creator>
  <cp:lastModifiedBy>Clarissa Kiwa Scarton Hayashi</cp:lastModifiedBy>
  <cp:revision>2</cp:revision>
  <dcterms:created xsi:type="dcterms:W3CDTF">2016-08-26T13:21:00Z</dcterms:created>
  <dcterms:modified xsi:type="dcterms:W3CDTF">2016-08-26T13:21:00Z</dcterms:modified>
</cp:coreProperties>
</file>