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1F2646" w14:textId="77777777" w:rsidR="00CA7A69" w:rsidRDefault="00CA7A69" w:rsidP="00FF404F">
      <w:pPr>
        <w:pStyle w:val="02-TtuloPrincipal-CLG"/>
        <w:spacing w:after="240"/>
        <w:jc w:val="left"/>
        <w:rPr>
          <w:caps/>
        </w:rPr>
      </w:pPr>
    </w:p>
    <w:p w14:paraId="497640EB" w14:textId="01F5FE8A" w:rsidR="00A85ECB" w:rsidRDefault="00C218D0" w:rsidP="00FF404F">
      <w:pPr>
        <w:pStyle w:val="02-TtuloPrincipal-CLG"/>
        <w:spacing w:after="240"/>
      </w:pPr>
      <w:r>
        <w:rPr>
          <w:caps/>
        </w:rPr>
        <w:t>Parecer</w:t>
      </w:r>
      <w:r w:rsidR="00A85ECB">
        <w:t xml:space="preserve"> Nº     </w:t>
      </w:r>
      <w:proofErr w:type="gramStart"/>
      <w:r w:rsidR="00A85ECB">
        <w:t xml:space="preserve">  ,</w:t>
      </w:r>
      <w:proofErr w:type="gramEnd"/>
      <w:r w:rsidR="00A85ECB">
        <w:t xml:space="preserve"> DE 201</w:t>
      </w:r>
      <w:r w:rsidR="005B566F">
        <w:t>6</w:t>
      </w:r>
    </w:p>
    <w:p w14:paraId="58A542AC" w14:textId="77777777" w:rsidR="00A85ECB" w:rsidRDefault="00C218D0" w:rsidP="00FF404F">
      <w:pPr>
        <w:pStyle w:val="03-Ementa-CLG"/>
        <w:spacing w:after="240"/>
      </w:pPr>
      <w:r>
        <w:t xml:space="preserve">Da COMISSÃO DE CONSTITUIÇÃO, JUSTIÇA E CIDADANIA, sobre o Projeto de Lei da Câmara (PLC) nº 156, de 2015, do Deputado Rubens Bueno, que </w:t>
      </w:r>
      <w:r>
        <w:rPr>
          <w:i/>
        </w:rPr>
        <w:t>torna obrigatório o uso, nas rodovias, de farol baixo aceso durante o dia e dá outras providências</w:t>
      </w:r>
      <w:r>
        <w:t>.</w:t>
      </w:r>
    </w:p>
    <w:p w14:paraId="7B1C9221" w14:textId="77777777" w:rsidR="003316D1" w:rsidRDefault="003316D1" w:rsidP="00FF404F">
      <w:pPr>
        <w:pStyle w:val="03-Ementa-CLG"/>
        <w:spacing w:after="240"/>
      </w:pPr>
    </w:p>
    <w:p w14:paraId="0032B91A" w14:textId="359637BD" w:rsidR="00FF404F" w:rsidRDefault="00C218D0" w:rsidP="00FF404F">
      <w:pPr>
        <w:pStyle w:val="04-Relatoria-CLG"/>
        <w:spacing w:after="240"/>
        <w:rPr>
          <w:b/>
          <w:caps/>
        </w:rPr>
      </w:pPr>
      <w:r>
        <w:t xml:space="preserve">Relator: Senador </w:t>
      </w:r>
      <w:r>
        <w:rPr>
          <w:b/>
          <w:caps/>
        </w:rPr>
        <w:t>José Medeiros</w:t>
      </w:r>
    </w:p>
    <w:p w14:paraId="121EE45E" w14:textId="77777777" w:rsidR="003316D1" w:rsidRPr="00FF404F" w:rsidRDefault="003316D1" w:rsidP="00FF404F">
      <w:pPr>
        <w:pStyle w:val="04-Relatoria-CLG"/>
        <w:spacing w:after="240"/>
        <w:rPr>
          <w:b/>
          <w:caps/>
        </w:rPr>
      </w:pPr>
    </w:p>
    <w:p w14:paraId="1083EF7D" w14:textId="77777777" w:rsidR="00A85ECB" w:rsidRDefault="00A85ECB" w:rsidP="00FF404F">
      <w:pPr>
        <w:pStyle w:val="05-Subttulo-CLG"/>
        <w:spacing w:after="240"/>
      </w:pPr>
      <w:r>
        <w:t>I – RELATÓRIO</w:t>
      </w:r>
    </w:p>
    <w:p w14:paraId="30873A52" w14:textId="4EF73559" w:rsidR="0044008B" w:rsidRDefault="0044008B" w:rsidP="00FF404F">
      <w:pPr>
        <w:pStyle w:val="06-Pargrafodetexto-CLG"/>
        <w:spacing w:after="100" w:afterAutospacing="1"/>
      </w:pPr>
      <w:r>
        <w:t>Submete-se ao exame da Comissão de Constituição Justiça e Cidadania (CCJ), o Projeto de Lei da Câmara (PLC) nº 156, de 2015, de autoria do Deputado Rubens Bueno, que</w:t>
      </w:r>
      <w:r w:rsidR="00943C35">
        <w:t xml:space="preserve"> torna obrigatório o uso, nas rodovias, de farol baixo aceso durante o dia</w:t>
      </w:r>
      <w:r>
        <w:t>.</w:t>
      </w:r>
    </w:p>
    <w:p w14:paraId="4ED52033" w14:textId="04896986" w:rsidR="0044008B" w:rsidRDefault="0044008B" w:rsidP="00FF404F">
      <w:pPr>
        <w:pStyle w:val="06-Pargrafodetexto-CLG"/>
        <w:spacing w:after="100" w:afterAutospacing="1"/>
      </w:pPr>
      <w:r>
        <w:t>A proposição estrutura-se em dois artigos</w:t>
      </w:r>
      <w:r w:rsidR="00943C35">
        <w:t>.</w:t>
      </w:r>
      <w:r>
        <w:t xml:space="preserve"> </w:t>
      </w:r>
    </w:p>
    <w:p w14:paraId="61411825" w14:textId="77777777" w:rsidR="0044008B" w:rsidRDefault="0044008B" w:rsidP="0044008B">
      <w:pPr>
        <w:pStyle w:val="06-Pargrafodetexto-CLG"/>
      </w:pPr>
      <w:r>
        <w:t xml:space="preserve">O art. 1º propõe nova redação para o inciso I do art. 40 e para a </w:t>
      </w:r>
      <w:proofErr w:type="gramStart"/>
      <w:r>
        <w:t>alínea</w:t>
      </w:r>
      <w:proofErr w:type="gramEnd"/>
      <w:r>
        <w:t xml:space="preserve"> b do inciso I do art. 250 da Lei nº 9.503, de 23 de setembro de 1997, que institui o Código de Trânsito Brasileiro CTB),</w:t>
      </w:r>
      <w:r w:rsidR="00604953">
        <w:t xml:space="preserve"> para</w:t>
      </w:r>
      <w:r>
        <w:t xml:space="preserve"> </w:t>
      </w:r>
      <w:r w:rsidR="00281416">
        <w:t>exigir</w:t>
      </w:r>
      <w:r w:rsidR="00604953">
        <w:t xml:space="preserve"> </w:t>
      </w:r>
      <w:r w:rsidR="00281416">
        <w:t>o</w:t>
      </w:r>
      <w:r w:rsidR="00604953">
        <w:t xml:space="preserve"> uso de</w:t>
      </w:r>
      <w:r>
        <w:t xml:space="preserve"> faróis baixos</w:t>
      </w:r>
      <w:r w:rsidR="00281416">
        <w:t xml:space="preserve"> acesos,</w:t>
      </w:r>
      <w:r>
        <w:t xml:space="preserve"> no período diurno</w:t>
      </w:r>
      <w:r w:rsidR="00281416">
        <w:t>,</w:t>
      </w:r>
      <w:r>
        <w:t xml:space="preserve"> </w:t>
      </w:r>
      <w:r w:rsidR="00281416">
        <w:t xml:space="preserve">também </w:t>
      </w:r>
      <w:r w:rsidR="00604953">
        <w:t>nas</w:t>
      </w:r>
      <w:r w:rsidR="00AE0CD8">
        <w:t xml:space="preserve"> </w:t>
      </w:r>
      <w:r>
        <w:t>rodovias.</w:t>
      </w:r>
    </w:p>
    <w:p w14:paraId="1948388F" w14:textId="77777777" w:rsidR="00AE0CD8" w:rsidRDefault="00AE0CD8" w:rsidP="00AE0CD8">
      <w:pPr>
        <w:pStyle w:val="06-Pargrafodetexto-CLG"/>
      </w:pPr>
      <w:r>
        <w:t>No art. 2º consta a cláusula de vigência, que seria imediata.</w:t>
      </w:r>
    </w:p>
    <w:p w14:paraId="02AE75C2" w14:textId="77777777" w:rsidR="00281416" w:rsidRDefault="0044008B" w:rsidP="00FF404F">
      <w:pPr>
        <w:pStyle w:val="06-Pargrafodetexto-CLG"/>
        <w:spacing w:after="100" w:afterAutospacing="1"/>
      </w:pPr>
      <w:r>
        <w:t>O autor argumenta que</w:t>
      </w:r>
      <w:r w:rsidR="00281416">
        <w:t xml:space="preserve"> a pouca visibilidade é um dos fatores que contribui para os constantes abalroamentos de veículos em rodovias e que, embora o Conselho Nacional de Trânsito (Contran) tenha, por meio da Resolução nº 18, de 17 de fevereiro de 1998, recomentado o uso de farol baixo aceso nas rodovias durante o dia, são raros os condutores que seguem tal recomendação. Por isso, propõe que tal obrigatoriedade seja estabelecida por lei.</w:t>
      </w:r>
    </w:p>
    <w:p w14:paraId="79E8429A" w14:textId="77777777" w:rsidR="00753CDB" w:rsidRPr="003311AC" w:rsidRDefault="00753CDB" w:rsidP="00FF404F">
      <w:pPr>
        <w:pStyle w:val="06-Pargrafodetexto-CLG"/>
        <w:spacing w:after="100" w:afterAutospacing="1"/>
      </w:pPr>
      <w:r>
        <w:t>O projeto foi distribuído exclusivamente à CCJ, e não foram oferecidas emendas.</w:t>
      </w:r>
    </w:p>
    <w:p w14:paraId="5E5017D0" w14:textId="77777777" w:rsidR="00A85ECB" w:rsidRPr="005523B9" w:rsidRDefault="00A85ECB" w:rsidP="00FF404F">
      <w:pPr>
        <w:pStyle w:val="05-Subttulo-CLG"/>
        <w:spacing w:after="100" w:afterAutospacing="1"/>
      </w:pPr>
      <w:r w:rsidRPr="005523B9">
        <w:lastRenderedPageBreak/>
        <w:t>II – ANÁLISE</w:t>
      </w:r>
    </w:p>
    <w:p w14:paraId="26FF183D" w14:textId="2C366ECC" w:rsidR="008D3F84" w:rsidRDefault="008D3F84" w:rsidP="00FF404F">
      <w:pPr>
        <w:pStyle w:val="06-Pargrafodetexto-CLG"/>
        <w:spacing w:after="100" w:afterAutospacing="1"/>
      </w:pPr>
      <w:r>
        <w:t>O projeto foi distribuído com exclusividade a esta Comissão, portanto, compete-nos sua análise sob todos os aspectos necessários, quais sejam, constitucionalidade, juridicidade, técnica legislativa e mérito.</w:t>
      </w:r>
    </w:p>
    <w:p w14:paraId="5E6C6AC5" w14:textId="77777777" w:rsidR="004C4C9C" w:rsidRDefault="004C4C9C" w:rsidP="00FF404F">
      <w:pPr>
        <w:pStyle w:val="06-Pargrafodetexto-CLG"/>
        <w:spacing w:after="100" w:afterAutospacing="1"/>
      </w:pPr>
      <w:r>
        <w:t xml:space="preserve">O Projeto de Lei da Câmara nº 156, de 2015, versa sobre normas gerais de trânsito, matéria sobre a qual a União tem competência privativa para legislar, conforme determina o art. 22 da Constituição Federal. Além disso, os </w:t>
      </w:r>
      <w:proofErr w:type="spellStart"/>
      <w:r>
        <w:t>arts</w:t>
      </w:r>
      <w:proofErr w:type="spellEnd"/>
      <w:r>
        <w:t>. 48 e 61 da Constituição atribuem ao Congresso Nacional e a qualquer de seus membros, respectivamente, a iniciativa para a proposição de leis relativas a matérias de interesse da União.</w:t>
      </w:r>
    </w:p>
    <w:p w14:paraId="004902D4" w14:textId="77777777" w:rsidR="0044008B" w:rsidRDefault="004C4C9C" w:rsidP="00FF404F">
      <w:pPr>
        <w:pStyle w:val="06-Pargrafodetexto-CLG"/>
        <w:spacing w:after="100" w:afterAutospacing="1"/>
      </w:pPr>
      <w:r>
        <w:t>Portanto, quanto</w:t>
      </w:r>
      <w:r w:rsidR="0044008B" w:rsidRPr="001478AD">
        <w:t xml:space="preserve"> à constitucionalidade da proposição, n</w:t>
      </w:r>
      <w:r w:rsidR="0044008B">
        <w:t>ão há qualquer ofensa material ou formal à Constituição Federal de 1988.</w:t>
      </w:r>
    </w:p>
    <w:p w14:paraId="0BFE2AC7" w14:textId="77777777" w:rsidR="0044008B" w:rsidRDefault="0044008B" w:rsidP="00FF404F">
      <w:pPr>
        <w:pStyle w:val="06-Pargrafodetexto-CLG"/>
        <w:spacing w:after="100" w:afterAutospacing="1"/>
      </w:pPr>
      <w:r w:rsidRPr="001478AD">
        <w:t xml:space="preserve">No que se refere à juridicidade e à </w:t>
      </w:r>
      <w:proofErr w:type="spellStart"/>
      <w:r w:rsidRPr="001478AD">
        <w:t>regimentalidade</w:t>
      </w:r>
      <w:proofErr w:type="spellEnd"/>
      <w:r w:rsidRPr="001478AD">
        <w:t>, não se encontram, tampouco, quaisquer vícios impeditivos da tramitação d</w:t>
      </w:r>
      <w:r>
        <w:t>o projeto</w:t>
      </w:r>
      <w:r w:rsidRPr="001478AD">
        <w:t>.</w:t>
      </w:r>
    </w:p>
    <w:p w14:paraId="30BBCAC5" w14:textId="77777777" w:rsidR="0044008B" w:rsidRDefault="00753CDB" w:rsidP="00FF404F">
      <w:pPr>
        <w:pStyle w:val="06-Pargrafodetexto-CLG"/>
        <w:spacing w:after="100" w:afterAutospacing="1"/>
      </w:pPr>
      <w:r>
        <w:t xml:space="preserve">Acerca da </w:t>
      </w:r>
      <w:r w:rsidR="0044008B" w:rsidRPr="00710238">
        <w:t>técni</w:t>
      </w:r>
      <w:r w:rsidR="0044008B">
        <w:t>ca legislativa, a proposição se mostra em conformidade com o que estabelece a Lei Complementar nº 95, de 26 de fevereiro de 1998.</w:t>
      </w:r>
    </w:p>
    <w:p w14:paraId="2F5EAB72" w14:textId="77777777" w:rsidR="00530EC0" w:rsidRDefault="002670BF" w:rsidP="00FF404F">
      <w:pPr>
        <w:pStyle w:val="06-Pargrafodetexto-CLG"/>
        <w:spacing w:after="100" w:afterAutospacing="1"/>
      </w:pPr>
      <w:r>
        <w:t xml:space="preserve">No que tange ao mérito, </w:t>
      </w:r>
      <w:r w:rsidR="00753CDB">
        <w:t xml:space="preserve">acreditamos ser louvável a intenção do nobre autor no sentido de buscar um trânsito mais seguro. </w:t>
      </w:r>
      <w:r w:rsidR="004C4C9C">
        <w:t>T</w:t>
      </w:r>
      <w:r w:rsidR="00753CDB">
        <w:t>rata-se da imposição de um procedimento bastante simples e de baixo custo que poderá aumentar a segurança nas estradas e assim contribuir para a redução da ocorrência de acidentes frontais nas rodovias e, consequentemente, salvar inúmeras vidas.</w:t>
      </w:r>
    </w:p>
    <w:p w14:paraId="5DE3EE5F" w14:textId="77777777" w:rsidR="00A85ECB" w:rsidRDefault="00A85ECB" w:rsidP="00FF404F">
      <w:pPr>
        <w:pStyle w:val="05-Subttulo-CLG"/>
        <w:spacing w:after="100" w:afterAutospacing="1"/>
      </w:pPr>
      <w:r>
        <w:t>III – VOTO</w:t>
      </w:r>
    </w:p>
    <w:p w14:paraId="5EE527CC" w14:textId="127312FD" w:rsidR="00FF404F" w:rsidRPr="00433B79" w:rsidRDefault="00753CDB" w:rsidP="003316D1">
      <w:pPr>
        <w:pStyle w:val="06-Pargrafodetexto-CLG"/>
        <w:spacing w:after="100" w:afterAutospacing="1"/>
      </w:pPr>
      <w:r>
        <w:t xml:space="preserve">Diante do exposto, o voto é pela constitucionalidade e juridicidade do PLC nº 156, de 2015, e, no mérito, por sua </w:t>
      </w:r>
      <w:r>
        <w:rPr>
          <w:b/>
        </w:rPr>
        <w:t>aprovação.</w:t>
      </w:r>
      <w:r w:rsidR="00615325" w:rsidRPr="00433B79">
        <w:t xml:space="preserve"> </w:t>
      </w:r>
    </w:p>
    <w:p w14:paraId="09DFBA79" w14:textId="6F7E6270" w:rsidR="00A85ECB" w:rsidRDefault="00C218D0" w:rsidP="00FF404F">
      <w:pPr>
        <w:pStyle w:val="10-Local-CLG"/>
        <w:spacing w:before="100" w:beforeAutospacing="1" w:after="100" w:afterAutospacing="1"/>
      </w:pPr>
      <w:r>
        <w:t>Sala da Comissão,</w:t>
      </w:r>
      <w:r w:rsidR="005B566F">
        <w:t xml:space="preserve"> 24 de fevereiro de 2016.</w:t>
      </w:r>
      <w:bookmarkStart w:id="0" w:name="_GoBack"/>
      <w:bookmarkEnd w:id="0"/>
    </w:p>
    <w:p w14:paraId="6438FA8D" w14:textId="21672AFE" w:rsidR="00FF404F" w:rsidRDefault="005B566F" w:rsidP="005B566F">
      <w:pPr>
        <w:pStyle w:val="11-Assinaturas-CLG"/>
        <w:spacing w:before="100" w:beforeAutospacing="1" w:after="100" w:afterAutospacing="1"/>
        <w:ind w:hanging="6524"/>
        <w:jc w:val="right"/>
      </w:pPr>
      <w:r>
        <w:t>Senador JOSÉ MARANHÃO</w:t>
      </w:r>
      <w:r w:rsidR="00A85ECB">
        <w:t>, Presidente</w:t>
      </w:r>
    </w:p>
    <w:p w14:paraId="63AC39F7" w14:textId="77777777" w:rsidR="003316D1" w:rsidRPr="00724990" w:rsidRDefault="003316D1" w:rsidP="005B566F">
      <w:pPr>
        <w:pStyle w:val="11-Assinaturas-CLG"/>
        <w:spacing w:before="100" w:beforeAutospacing="1" w:after="100" w:afterAutospacing="1"/>
        <w:jc w:val="right"/>
      </w:pPr>
    </w:p>
    <w:p w14:paraId="3CAD5634" w14:textId="0DE91710" w:rsidR="00A85ECB" w:rsidRDefault="005B566F" w:rsidP="005B566F">
      <w:pPr>
        <w:pStyle w:val="11-Assinaturas-CLG"/>
        <w:spacing w:before="100" w:beforeAutospacing="1" w:after="100" w:afterAutospacing="1"/>
        <w:ind w:hanging="5673"/>
        <w:jc w:val="right"/>
      </w:pPr>
      <w:r>
        <w:t>Senador JOSÉ MEDEIROS</w:t>
      </w:r>
      <w:r w:rsidR="00A85ECB">
        <w:t>, Relator</w:t>
      </w:r>
    </w:p>
    <w:p w14:paraId="5FCE9B83" w14:textId="77777777" w:rsidR="005B566F" w:rsidRDefault="005B566F">
      <w:pPr>
        <w:pStyle w:val="11-Assinaturas-CLG"/>
        <w:spacing w:before="100" w:beforeAutospacing="1" w:after="100" w:afterAutospacing="1"/>
        <w:ind w:hanging="5673"/>
        <w:jc w:val="right"/>
      </w:pPr>
    </w:p>
    <w:sectPr w:rsidR="005B566F" w:rsidSect="00A85ECB">
      <w:headerReference w:type="even" r:id="rId7"/>
      <w:headerReference w:type="default" r:id="rId8"/>
      <w:headerReference w:type="first" r:id="rId9"/>
      <w:footerReference w:type="first" r:id="rId10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867D17" w14:textId="77777777" w:rsidR="005705B3" w:rsidRDefault="005705B3" w:rsidP="00A85ECB">
      <w:pPr>
        <w:spacing w:after="0" w:line="240" w:lineRule="auto"/>
      </w:pPr>
      <w:r>
        <w:separator/>
      </w:r>
    </w:p>
  </w:endnote>
  <w:endnote w:type="continuationSeparator" w:id="0">
    <w:p w14:paraId="46990048" w14:textId="77777777" w:rsidR="005705B3" w:rsidRDefault="005705B3" w:rsidP="00A85E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3A3767" w14:textId="77777777" w:rsidR="00D11C2C" w:rsidRPr="00342E7D" w:rsidRDefault="00385A9D">
    <w:pPr>
      <w:pStyle w:val="Rodap"/>
      <w:rPr>
        <w:i/>
        <w:sz w:val="18"/>
        <w:szCs w:val="18"/>
      </w:rPr>
    </w:pPr>
    <w:r w:rsidRPr="00342E7D">
      <w:rPr>
        <w:i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930C46" w14:textId="77777777" w:rsidR="005705B3" w:rsidRDefault="005705B3" w:rsidP="00A85ECB">
      <w:pPr>
        <w:spacing w:after="0" w:line="240" w:lineRule="auto"/>
      </w:pPr>
      <w:r>
        <w:separator/>
      </w:r>
    </w:p>
  </w:footnote>
  <w:footnote w:type="continuationSeparator" w:id="0">
    <w:p w14:paraId="57309FB3" w14:textId="77777777" w:rsidR="005705B3" w:rsidRDefault="005705B3" w:rsidP="00A85E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8E9086" w14:textId="77777777" w:rsidR="00D11C2C" w:rsidRDefault="0003485E" w:rsidP="00A85E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D4B49FC" w14:textId="77777777" w:rsidR="00D11C2C" w:rsidRDefault="005B566F">
    <w:pPr>
      <w:pStyle w:val="Cabealho"/>
      <w:ind w:right="360"/>
    </w:pPr>
  </w:p>
  <w:p w14:paraId="6C621233" w14:textId="77777777" w:rsidR="00D11C2C" w:rsidRDefault="005B566F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B84B5E" w14:textId="77777777" w:rsidR="00D11C2C" w:rsidRDefault="0003485E" w:rsidP="00A85E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B566F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5230537A" w14:textId="77777777" w:rsidR="00D11C2C" w:rsidRDefault="005B566F">
    <w:pPr>
      <w:pStyle w:val="Cabealho"/>
      <w:ind w:right="360"/>
    </w:pPr>
  </w:p>
  <w:p w14:paraId="22FF52C1" w14:textId="77777777" w:rsidR="00D11C2C" w:rsidRDefault="005B566F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-454" w:type="dxa"/>
      <w:tblLayout w:type="fixed"/>
      <w:tblCellMar>
        <w:left w:w="113" w:type="dxa"/>
        <w:right w:w="113" w:type="dxa"/>
      </w:tblCellMar>
      <w:tblLook w:val="04A0" w:firstRow="1" w:lastRow="0" w:firstColumn="1" w:lastColumn="0" w:noHBand="0" w:noVBand="1"/>
    </w:tblPr>
    <w:tblGrid>
      <w:gridCol w:w="1167"/>
      <w:gridCol w:w="8472"/>
    </w:tblGrid>
    <w:tr w:rsidR="00206366" w:rsidRPr="0023161E" w14:paraId="07DDB47B" w14:textId="77777777" w:rsidTr="00A13F9F">
      <w:trPr>
        <w:cantSplit/>
      </w:trPr>
      <w:tc>
        <w:tcPr>
          <w:tcW w:w="1167" w:type="dxa"/>
          <w:hideMark/>
        </w:tcPr>
        <w:p w14:paraId="24D49265" w14:textId="77777777" w:rsidR="00206366" w:rsidRPr="0023161E" w:rsidRDefault="00206366" w:rsidP="00206366">
          <w:pPr>
            <w:suppressAutoHyphens/>
            <w:spacing w:after="0" w:line="240" w:lineRule="auto"/>
            <w:rPr>
              <w:rFonts w:ascii="New York" w:eastAsia="Times New Roman" w:hAnsi="New York" w:cs="New York"/>
              <w:sz w:val="20"/>
              <w:szCs w:val="20"/>
              <w:lang w:val="pt-PT" w:eastAsia="zh-CN"/>
            </w:rPr>
          </w:pPr>
          <w:r w:rsidRPr="0023161E">
            <w:rPr>
              <w:rFonts w:ascii="New York" w:eastAsia="Times New Roman" w:hAnsi="New York" w:cs="New York"/>
              <w:noProof/>
              <w:sz w:val="20"/>
              <w:szCs w:val="20"/>
              <w:lang w:eastAsia="pt-BR"/>
            </w:rPr>
            <w:drawing>
              <wp:inline distT="0" distB="0" distL="0" distR="0" wp14:anchorId="5F618B41" wp14:editId="3C281BC6">
                <wp:extent cx="590550" cy="590550"/>
                <wp:effectExtent l="1905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" cy="590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472" w:type="dxa"/>
        </w:tcPr>
        <w:p w14:paraId="0A00EC02" w14:textId="77777777" w:rsidR="00206366" w:rsidRPr="0023161E" w:rsidRDefault="00206366" w:rsidP="00206366">
          <w:pPr>
            <w:suppressAutoHyphens/>
            <w:spacing w:after="0" w:line="240" w:lineRule="auto"/>
            <w:ind w:left="-113"/>
            <w:rPr>
              <w:rFonts w:ascii="New York" w:eastAsia="Times New Roman" w:hAnsi="New York" w:cs="New York"/>
              <w:sz w:val="18"/>
              <w:szCs w:val="18"/>
              <w:lang w:val="pt-PT" w:eastAsia="zh-CN"/>
            </w:rPr>
          </w:pPr>
        </w:p>
        <w:p w14:paraId="606ACEDC" w14:textId="77777777" w:rsidR="00206366" w:rsidRPr="0023161E" w:rsidRDefault="00206366" w:rsidP="00206366">
          <w:pPr>
            <w:suppressAutoHyphens/>
            <w:spacing w:after="0" w:line="240" w:lineRule="auto"/>
            <w:ind w:left="-113"/>
            <w:rPr>
              <w:rFonts w:ascii="New York" w:eastAsia="Times New Roman" w:hAnsi="New York" w:cs="New York"/>
              <w:i/>
              <w:sz w:val="18"/>
              <w:szCs w:val="18"/>
              <w:lang w:val="pt-PT" w:eastAsia="zh-CN"/>
            </w:rPr>
          </w:pPr>
          <w:r w:rsidRPr="0023161E">
            <w:rPr>
              <w:rFonts w:ascii="New York" w:eastAsia="Times New Roman" w:hAnsi="New York" w:cs="New York"/>
              <w:sz w:val="18"/>
              <w:szCs w:val="18"/>
              <w:lang w:val="pt-PT" w:eastAsia="zh-CN"/>
            </w:rPr>
            <w:t>SENADO FEDERAL</w:t>
          </w:r>
        </w:p>
        <w:p w14:paraId="7C8EA85B" w14:textId="77777777" w:rsidR="00206366" w:rsidRPr="0023161E" w:rsidRDefault="00206366" w:rsidP="00206366">
          <w:pPr>
            <w:suppressAutoHyphens/>
            <w:spacing w:after="0" w:line="240" w:lineRule="auto"/>
            <w:ind w:left="-113"/>
            <w:rPr>
              <w:rFonts w:ascii="New York" w:eastAsia="Times New Roman" w:hAnsi="New York" w:cs="New York"/>
              <w:sz w:val="20"/>
              <w:szCs w:val="20"/>
              <w:lang w:val="pt-PT" w:eastAsia="zh-CN"/>
            </w:rPr>
          </w:pPr>
          <w:r w:rsidRPr="0023161E">
            <w:rPr>
              <w:rFonts w:ascii="New York" w:eastAsia="Times New Roman" w:hAnsi="New York" w:cs="New York"/>
              <w:i/>
              <w:sz w:val="20"/>
              <w:szCs w:val="20"/>
              <w:lang w:val="pt-PT" w:eastAsia="zh-CN"/>
            </w:rPr>
            <w:t>Gabinete do Senador José Medeiros</w:t>
          </w:r>
        </w:p>
      </w:tc>
    </w:tr>
  </w:tbl>
  <w:p w14:paraId="6C2478BC" w14:textId="77777777" w:rsidR="00206366" w:rsidRPr="00206366" w:rsidRDefault="00206366">
    <w:pPr>
      <w:pStyle w:val="Cabealho"/>
      <w:rPr>
        <w:lang w:val="pt-PT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4C2CF2"/>
    <w:multiLevelType w:val="hybridMultilevel"/>
    <w:tmpl w:val="F5FED6CC"/>
    <w:lvl w:ilvl="0" w:tplc="04160017">
      <w:start w:val="1"/>
      <w:numFmt w:val="lowerLetter"/>
      <w:lvlText w:val="%1)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" w15:restartNumberingAfterBreak="0">
    <w:nsid w:val="56CB02DA"/>
    <w:multiLevelType w:val="hybridMultilevel"/>
    <w:tmpl w:val="BD4E080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ECB"/>
    <w:rsid w:val="00021D90"/>
    <w:rsid w:val="0003485E"/>
    <w:rsid w:val="0004370B"/>
    <w:rsid w:val="00055CBB"/>
    <w:rsid w:val="0007300D"/>
    <w:rsid w:val="001234EB"/>
    <w:rsid w:val="0014058C"/>
    <w:rsid w:val="0019646D"/>
    <w:rsid w:val="001F7438"/>
    <w:rsid w:val="002029DB"/>
    <w:rsid w:val="00206366"/>
    <w:rsid w:val="002670BF"/>
    <w:rsid w:val="00281416"/>
    <w:rsid w:val="0028552C"/>
    <w:rsid w:val="002F08FB"/>
    <w:rsid w:val="00310B8B"/>
    <w:rsid w:val="003316D1"/>
    <w:rsid w:val="00346E06"/>
    <w:rsid w:val="00385A9D"/>
    <w:rsid w:val="003B6BA9"/>
    <w:rsid w:val="003C5949"/>
    <w:rsid w:val="003F695A"/>
    <w:rsid w:val="004254A4"/>
    <w:rsid w:val="0044008B"/>
    <w:rsid w:val="00461D32"/>
    <w:rsid w:val="00466BCE"/>
    <w:rsid w:val="0048265E"/>
    <w:rsid w:val="004C4C9C"/>
    <w:rsid w:val="004D4188"/>
    <w:rsid w:val="0050661C"/>
    <w:rsid w:val="005079CB"/>
    <w:rsid w:val="00530EC0"/>
    <w:rsid w:val="005427DE"/>
    <w:rsid w:val="0055336D"/>
    <w:rsid w:val="005705B3"/>
    <w:rsid w:val="0059291D"/>
    <w:rsid w:val="005B566F"/>
    <w:rsid w:val="005C0FDC"/>
    <w:rsid w:val="005F66EF"/>
    <w:rsid w:val="00602BD8"/>
    <w:rsid w:val="00604953"/>
    <w:rsid w:val="00615325"/>
    <w:rsid w:val="00666B40"/>
    <w:rsid w:val="006810E2"/>
    <w:rsid w:val="006B2AD4"/>
    <w:rsid w:val="00753CDB"/>
    <w:rsid w:val="00786E12"/>
    <w:rsid w:val="00796409"/>
    <w:rsid w:val="007C396C"/>
    <w:rsid w:val="007F6C25"/>
    <w:rsid w:val="00800E94"/>
    <w:rsid w:val="00806347"/>
    <w:rsid w:val="00822AB4"/>
    <w:rsid w:val="008707F5"/>
    <w:rsid w:val="00892633"/>
    <w:rsid w:val="008D22A3"/>
    <w:rsid w:val="008D3F84"/>
    <w:rsid w:val="008F4839"/>
    <w:rsid w:val="00943C35"/>
    <w:rsid w:val="00957CF0"/>
    <w:rsid w:val="009F7A23"/>
    <w:rsid w:val="00A070DD"/>
    <w:rsid w:val="00A85ECB"/>
    <w:rsid w:val="00AE0CD8"/>
    <w:rsid w:val="00B26EDC"/>
    <w:rsid w:val="00B44A19"/>
    <w:rsid w:val="00B5322A"/>
    <w:rsid w:val="00B57CDF"/>
    <w:rsid w:val="00C218D0"/>
    <w:rsid w:val="00C54477"/>
    <w:rsid w:val="00CA7A69"/>
    <w:rsid w:val="00CF459F"/>
    <w:rsid w:val="00CF4AAD"/>
    <w:rsid w:val="00D20B94"/>
    <w:rsid w:val="00D848F7"/>
    <w:rsid w:val="00E241F7"/>
    <w:rsid w:val="00EC05B2"/>
    <w:rsid w:val="00ED38EE"/>
    <w:rsid w:val="00F56077"/>
    <w:rsid w:val="00FA009E"/>
    <w:rsid w:val="00FA22FA"/>
    <w:rsid w:val="00FE762A"/>
    <w:rsid w:val="00FF4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64554"/>
  <w15:docId w15:val="{13583668-52ED-48D7-9F87-6B18E0819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058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rsid w:val="00A85ECB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semiHidden/>
    <w:rsid w:val="00A85EC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semiHidden/>
    <w:rsid w:val="00A85ECB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semiHidden/>
    <w:rsid w:val="00A85EC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semiHidden/>
    <w:rsid w:val="00A85ECB"/>
  </w:style>
  <w:style w:type="paragraph" w:customStyle="1" w:styleId="01-Minuta-CLG">
    <w:name w:val="01 - Minuta - CLG"/>
    <w:link w:val="01-Minuta-CLGChar"/>
    <w:rsid w:val="00A85ECB"/>
    <w:pPr>
      <w:spacing w:after="18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02-TtuloPrincipal-CLG">
    <w:name w:val="02 - Título Principal - CLG"/>
    <w:link w:val="02-TtuloPrincipal-CLGChar"/>
    <w:rsid w:val="00A85ECB"/>
    <w:pPr>
      <w:spacing w:after="96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paragraph" w:customStyle="1" w:styleId="03-Ementa-CLG">
    <w:name w:val="03 - Ementa - CLG"/>
    <w:link w:val="03-Ementa-CLGCharChar"/>
    <w:rsid w:val="00A85ECB"/>
    <w:pPr>
      <w:spacing w:after="960" w:line="240" w:lineRule="auto"/>
      <w:ind w:left="3686"/>
      <w:jc w:val="both"/>
    </w:pPr>
    <w:rPr>
      <w:rFonts w:ascii="Times New Roman" w:eastAsia="Arial Unicode MS" w:hAnsi="Times New Roman" w:cs="Times New Roman"/>
      <w:sz w:val="24"/>
      <w:szCs w:val="24"/>
      <w:lang w:eastAsia="pt-BR"/>
    </w:rPr>
  </w:style>
  <w:style w:type="character" w:customStyle="1" w:styleId="03-Ementa-CLGCharChar">
    <w:name w:val="03 - Ementa - CLG Char Char"/>
    <w:basedOn w:val="Fontepargpadro"/>
    <w:link w:val="03-Ementa-CLG"/>
    <w:rsid w:val="00A85ECB"/>
    <w:rPr>
      <w:rFonts w:ascii="Times New Roman" w:eastAsia="Arial Unicode MS" w:hAnsi="Times New Roman" w:cs="Times New Roman"/>
      <w:sz w:val="24"/>
      <w:szCs w:val="24"/>
      <w:lang w:eastAsia="pt-BR"/>
    </w:rPr>
  </w:style>
  <w:style w:type="paragraph" w:customStyle="1" w:styleId="04-Relatoria-CLG">
    <w:name w:val="04 - Relatoria - CLG"/>
    <w:link w:val="04-Relatoria-CLGChar"/>
    <w:rsid w:val="00A85ECB"/>
    <w:pPr>
      <w:spacing w:after="960" w:line="240" w:lineRule="auto"/>
      <w:ind w:left="1440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05-Subttulo-CLG">
    <w:name w:val="05 - Subtítulo - CLG"/>
    <w:link w:val="05-Subttulo-CLGChar"/>
    <w:rsid w:val="00A85ECB"/>
    <w:pPr>
      <w:spacing w:after="48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customStyle="1" w:styleId="06-Pargrafodetexto-CLG">
    <w:name w:val="06 - Parágrafo de texto - CLG"/>
    <w:link w:val="06-Pargrafodetexto-CLGChar"/>
    <w:rsid w:val="00A85ECB"/>
    <w:pPr>
      <w:spacing w:after="360" w:line="240" w:lineRule="auto"/>
      <w:ind w:firstLine="1418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1-Minuta-CLGChar">
    <w:name w:val="01 - Minuta - CLG Char"/>
    <w:basedOn w:val="Fontepargpadro"/>
    <w:link w:val="01-Minuta-CLG"/>
    <w:rsid w:val="00A85EC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10-Local-CLG">
    <w:name w:val="10 - Local - CLG"/>
    <w:link w:val="10-Local-CLGChar"/>
    <w:rsid w:val="00A85ECB"/>
    <w:pPr>
      <w:spacing w:before="960" w:after="720" w:line="240" w:lineRule="auto"/>
      <w:ind w:firstLine="2520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11-Assinaturas-CLG">
    <w:name w:val="11 - Assinaturas - CLG"/>
    <w:link w:val="11-Assinaturas-CLGChar"/>
    <w:rsid w:val="00A85ECB"/>
    <w:pPr>
      <w:spacing w:after="960" w:line="240" w:lineRule="auto"/>
      <w:ind w:left="6240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2-TtuloPrincipal-CLGChar">
    <w:name w:val="02 - Título Principal - CLG Char"/>
    <w:basedOn w:val="Fontepargpadro"/>
    <w:link w:val="02-TtuloPrincipal-CLG"/>
    <w:rsid w:val="00A85ECB"/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character" w:customStyle="1" w:styleId="04-Relatoria-CLGChar">
    <w:name w:val="04 - Relatoria - CLG Char"/>
    <w:basedOn w:val="Fontepargpadro"/>
    <w:link w:val="04-Relatoria-CLG"/>
    <w:rsid w:val="00A85EC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5-Subttulo-CLGChar">
    <w:name w:val="05 - Subtítulo - CLG Char"/>
    <w:basedOn w:val="Fontepargpadro"/>
    <w:link w:val="05-Subttulo-CLG"/>
    <w:rsid w:val="00A85ECB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06-Pargrafodetexto-CLGChar">
    <w:name w:val="06 - Parágrafo de texto - CLG Char"/>
    <w:basedOn w:val="Fontepargpadro"/>
    <w:link w:val="06-Pargrafodetexto-CLG"/>
    <w:rsid w:val="00A85EC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10-Local-CLGChar">
    <w:name w:val="10 - Local - CLG Char"/>
    <w:basedOn w:val="Fontepargpadro"/>
    <w:link w:val="10-Local-CLG"/>
    <w:rsid w:val="00A85EC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11-Assinaturas-CLGChar">
    <w:name w:val="11 - Assinaturas - CLG Char"/>
    <w:basedOn w:val="Fontepargpadro"/>
    <w:link w:val="11-Assinaturas-CLG"/>
    <w:rsid w:val="00A85ECB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07-Citaolegal-CLG">
    <w:name w:val="07 - Citação legal - CLG"/>
    <w:rsid w:val="00A85ECB"/>
    <w:pPr>
      <w:spacing w:after="120" w:line="240" w:lineRule="auto"/>
      <w:ind w:left="1985" w:firstLine="567"/>
      <w:jc w:val="both"/>
    </w:pPr>
    <w:rPr>
      <w:rFonts w:ascii="Times New Roman" w:eastAsia="Times New Roman" w:hAnsi="Times New Roman" w:cs="Times New Roman"/>
      <w:bCs/>
      <w:sz w:val="24"/>
      <w:szCs w:val="20"/>
      <w:lang w:eastAsia="pt-BR"/>
    </w:rPr>
  </w:style>
  <w:style w:type="paragraph" w:customStyle="1" w:styleId="08-Citaolegal-ltimalinha-CLG">
    <w:name w:val="08 - Citação legal - última linha - CLG"/>
    <w:rsid w:val="00A85ECB"/>
    <w:pPr>
      <w:spacing w:after="480" w:line="240" w:lineRule="auto"/>
      <w:ind w:left="1985" w:firstLine="567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09-Ttuloemenda-CLG">
    <w:name w:val="09 - Título emenda - CLG"/>
    <w:rsid w:val="00A85ECB"/>
    <w:pPr>
      <w:spacing w:before="480" w:after="360" w:line="240" w:lineRule="auto"/>
      <w:jc w:val="center"/>
    </w:pPr>
    <w:rPr>
      <w:rFonts w:ascii="Times New Roman" w:eastAsia="Times New Roman" w:hAnsi="Times New Roman" w:cs="Times New Roman"/>
      <w:b/>
      <w:bCs/>
      <w:spacing w:val="-4"/>
      <w:sz w:val="28"/>
      <w:szCs w:val="20"/>
      <w:lang w:eastAsia="pt-BR"/>
    </w:rPr>
  </w:style>
  <w:style w:type="paragraph" w:customStyle="1" w:styleId="02-TtuloEmenda-CLG">
    <w:name w:val="02 - Título Emenda - CLG"/>
    <w:rsid w:val="0044008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46E06"/>
    <w:pPr>
      <w:spacing w:after="0" w:line="240" w:lineRule="auto"/>
      <w:ind w:left="720"/>
    </w:pPr>
    <w:rPr>
      <w:rFonts w:ascii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CF45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F459F"/>
  </w:style>
  <w:style w:type="paragraph" w:styleId="Textodebalo">
    <w:name w:val="Balloon Text"/>
    <w:basedOn w:val="Normal"/>
    <w:link w:val="TextodebaloChar"/>
    <w:uiPriority w:val="99"/>
    <w:semiHidden/>
    <w:unhideWhenUsed/>
    <w:rsid w:val="009F7A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F7A23"/>
    <w:rPr>
      <w:rFonts w:ascii="Segoe UI" w:hAnsi="Segoe UI" w:cs="Segoe UI"/>
      <w:sz w:val="18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rsid w:val="009F7A2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7A23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7A23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7A2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7A2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13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5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486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Senado Federal</Company>
  <LinksUpToDate>false</LinksUpToDate>
  <CharactersWithSpaces>3106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CONLEG - Consultoria Legislativa do Senado Federal</dc:creator>
  <cp:lastModifiedBy>Caroline de Araújo Ribeiro</cp:lastModifiedBy>
  <cp:revision>3</cp:revision>
  <cp:lastPrinted>2016-01-18T13:21:00Z</cp:lastPrinted>
  <dcterms:created xsi:type="dcterms:W3CDTF">2016-02-24T17:23:00Z</dcterms:created>
  <dcterms:modified xsi:type="dcterms:W3CDTF">2016-02-24T17:25:00Z</dcterms:modified>
</cp:coreProperties>
</file>