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64A" w:rsidRDefault="0054464A" w:rsidP="0054464A">
      <w:pPr>
        <w:pStyle w:val="02-TtuloPrincipal-CLG"/>
      </w:pPr>
      <w:bookmarkStart w:id="0" w:name="_GoBack"/>
      <w:bookmarkEnd w:id="0"/>
      <w:r>
        <w:t>PARECER Nº       , DE 2015</w:t>
      </w:r>
    </w:p>
    <w:p w:rsidR="0054464A" w:rsidRPr="00D47731" w:rsidRDefault="0054464A" w:rsidP="00704C38">
      <w:pPr>
        <w:pStyle w:val="03-Ementa-CLG"/>
        <w:ind w:left="3969"/>
      </w:pPr>
      <w:r>
        <w:t xml:space="preserve">Da COMISSÃO MISTA, sobre a Medida Provisória nº 692, de 22 de setembro de 2015, que </w:t>
      </w:r>
      <w:r>
        <w:rPr>
          <w:i/>
        </w:rPr>
        <w:t>a</w:t>
      </w:r>
      <w:r w:rsidRPr="0054464A">
        <w:rPr>
          <w:i/>
        </w:rPr>
        <w:t>ltera a Lei nº 8.981, de 20 de janeiro de 1995, para dispor acerca da incidência de imposto sobre a renda na hipótese de ganho de capital em decorrência da alienação de bens e direitos de qualquer natureza, e a Medida Provisória nº 685, de 21 de julho de 2015, que institui o Programa de Redução de Litígios Tributários – PRORELIT</w:t>
      </w:r>
      <w:r w:rsidRPr="00D47731">
        <w:t>.</w:t>
      </w:r>
    </w:p>
    <w:p w:rsidR="0054464A" w:rsidRPr="004A63C0" w:rsidRDefault="0054464A" w:rsidP="0054464A">
      <w:pPr>
        <w:pStyle w:val="04-Relatoria-CLG"/>
        <w:rPr>
          <w:b/>
        </w:rPr>
      </w:pPr>
      <w:r>
        <w:t xml:space="preserve">RELATOR: Senador </w:t>
      </w:r>
      <w:r>
        <w:rPr>
          <w:b/>
        </w:rPr>
        <w:t>TASSO JEREISSATI</w:t>
      </w:r>
    </w:p>
    <w:p w:rsidR="0054464A" w:rsidRDefault="0054464A" w:rsidP="0054464A">
      <w:pPr>
        <w:pStyle w:val="05-Subttulo-CLG"/>
      </w:pPr>
      <w:r>
        <w:t>I – RELATÓRIO</w:t>
      </w:r>
    </w:p>
    <w:p w:rsidR="0054464A" w:rsidRPr="00A009B5" w:rsidRDefault="0054464A" w:rsidP="0054464A">
      <w:pPr>
        <w:pStyle w:val="05-Subttulo-CLG"/>
        <w:ind w:left="426"/>
      </w:pPr>
      <w:r w:rsidRPr="00A009B5">
        <w:t>I.1 – Conteúdo da Medida Provisória</w:t>
      </w:r>
    </w:p>
    <w:p w:rsidR="006F3D92" w:rsidRPr="006F3D92" w:rsidRDefault="006F3D92" w:rsidP="006F3D92">
      <w:pPr>
        <w:pStyle w:val="06-Pargrafodetexto-CLG"/>
      </w:pPr>
      <w:r w:rsidRPr="006F3D92">
        <w:t xml:space="preserve">A Medida Provisória (MPV) nº 692, de </w:t>
      </w:r>
      <w:r w:rsidR="00D93218">
        <w:t xml:space="preserve">22 de setembro de </w:t>
      </w:r>
      <w:r w:rsidRPr="006F3D92">
        <w:t>2015, composta por quatro artigos, tem dois objetivos: alterar a tributação do Imposto sobre a Renda</w:t>
      </w:r>
      <w:r w:rsidR="00D93218">
        <w:t xml:space="preserve"> da Pessoa Física (IRPF)</w:t>
      </w:r>
      <w:r w:rsidRPr="006F3D92">
        <w:t xml:space="preserve"> na hipótese de ganho de capital, de modo a torná-lo progressivo, bem como alterar o termo final de adesão, as condições de pagamento </w:t>
      </w:r>
      <w:r w:rsidRPr="006F3D92">
        <w:lastRenderedPageBreak/>
        <w:t xml:space="preserve">e o pagamento mínimo em espécie referentes ao Programa de Redução de Litígios Tributários </w:t>
      </w:r>
      <w:r>
        <w:t>(</w:t>
      </w:r>
      <w:r w:rsidRPr="006F3D92">
        <w:t>PRORELIT</w:t>
      </w:r>
      <w:r>
        <w:t>)</w:t>
      </w:r>
      <w:r w:rsidRPr="006F3D92">
        <w:t>, instituído pela MPV nº 685, de</w:t>
      </w:r>
      <w:r w:rsidR="00D93218">
        <w:t xml:space="preserve"> 21 de julho de</w:t>
      </w:r>
      <w:r w:rsidRPr="006F3D92">
        <w:t xml:space="preserve"> 2015.</w:t>
      </w:r>
    </w:p>
    <w:p w:rsidR="006F3D92" w:rsidRPr="006F3D92" w:rsidRDefault="006F3D92" w:rsidP="006F3D92">
      <w:pPr>
        <w:pStyle w:val="06-Pargrafodetexto-CLG"/>
      </w:pPr>
      <w:r w:rsidRPr="006F3D92">
        <w:t xml:space="preserve"> A primeira medida é efetivada pelos dois artigos</w:t>
      </w:r>
      <w:r w:rsidR="00875270">
        <w:t xml:space="preserve"> iniciais</w:t>
      </w:r>
      <w:r w:rsidRPr="006F3D92">
        <w:t xml:space="preserve">. O art. 1º altera o art. 21 da Lei nº 8.981, de 20 de janeiro de 1995, para que o ganho de capital percebido por pessoa física em decorrência da alienação de bens e direitos de qualquer natureza, antes sujeito à incidência do IRPF à alíquota única de 15% (quinze por cento), passe a ter quatro alíquotas diferentes e progressivas. </w:t>
      </w:r>
    </w:p>
    <w:p w:rsidR="006F3D92" w:rsidRPr="006F3D92" w:rsidRDefault="006F3D92" w:rsidP="006F3D92">
      <w:pPr>
        <w:pStyle w:val="06-Pargrafodetexto-CLG"/>
      </w:pPr>
      <w:r w:rsidRPr="006F3D92">
        <w:t xml:space="preserve">A atual alíquota única de 15% (quinze por cento) passa a ser a mais branda, sendo aplicável sobre a parcela dos ganhos que não ultrapassar R$ 1.000.000,00 (um milhão de reais). A parcela dos ganhos que exceder R$ 1.000.000,00 (um milhão de reais) e não ultrapassar R$ 5.000.000,00 (cinco milhões de reais) será tributada à alíquota de 20% (vinte por cento). A que exceder R$ 5.000.000,00 (cinco milhões de reais) e não ultrapassar R$ 20.000.000,00 (vinte milhões de reais) estará sujeita à alíquota de 25% (vinte e cinco por cento). Por fim, a que ultrapassar R$ 20.000.000,00 (vinte milhões de reais) será tributada à alíquota de 30% (trinta por cento). </w:t>
      </w:r>
    </w:p>
    <w:p w:rsidR="006F3D92" w:rsidRPr="006F3D92" w:rsidRDefault="006F3D92" w:rsidP="006F3D92">
      <w:pPr>
        <w:pStyle w:val="06-Pargrafodetexto-CLG"/>
      </w:pPr>
      <w:r w:rsidRPr="006F3D92">
        <w:t xml:space="preserve">Se o mesmo bem ou direito for alienado em partes, o ganho de capital, a partir da segunda operação, deve ser somado </w:t>
      </w:r>
      <w:r w:rsidRPr="006F3D92">
        <w:lastRenderedPageBreak/>
        <w:t>aos ganhos auferidos nas operações anteriores para fins da apuração do imposto, deduzindo-se o montante do i</w:t>
      </w:r>
      <w:r w:rsidR="00875270">
        <w:t>mposto pago naquelas operações.</w:t>
      </w:r>
    </w:p>
    <w:p w:rsidR="006F3D92" w:rsidRPr="006F3D92" w:rsidRDefault="006F3D92" w:rsidP="006F3D92">
      <w:pPr>
        <w:pStyle w:val="06-Pargrafodetexto-CLG"/>
      </w:pPr>
      <w:r w:rsidRPr="006F3D92">
        <w:t xml:space="preserve">O art. 2º se refere ao ganho de capital percebido em decorrência da alienação de bens e direitos do ativo não-circulante por pessoa jurídica optante pelo Simples Nacional, instituído pela Lei Complementar nº 123, de 14 de dezembro de 2006. Doravante, a partir da produção de efeitos das novas normas, essas operações ficarão sujeitas à incidência das mesmas alíquotas aplicáveis aos ganhos de capital das pessoas físicas, na forma do art. 21, </w:t>
      </w:r>
      <w:r w:rsidRPr="006F3D92">
        <w:rPr>
          <w:i/>
        </w:rPr>
        <w:t>caput</w:t>
      </w:r>
      <w:r w:rsidRPr="006F3D92">
        <w:t>, e §§ 1º, 3º e 4º, todos da Lei nº 8.981, de 1995. Segundo a Exposição de Motivos (EM) que acompanha a MPV, a medida prevenir</w:t>
      </w:r>
      <w:r w:rsidR="00875270">
        <w:t>ia</w:t>
      </w:r>
      <w:r w:rsidRPr="006F3D92">
        <w:t xml:space="preserve"> o planejamento tributário que teria por objetivo aproveitar a tributação reduzida do ganho de capital que seria aplicável aos optantes pelo Simples Nacional sem a previsão contida no art. 2º da MPV nº 692, de 2015.</w:t>
      </w:r>
    </w:p>
    <w:p w:rsidR="006F3D92" w:rsidRPr="006F3D92" w:rsidRDefault="006F3D92" w:rsidP="006F3D92">
      <w:pPr>
        <w:pStyle w:val="06-Pargrafodetexto-CLG"/>
      </w:pPr>
      <w:r w:rsidRPr="006F3D92">
        <w:t>As alterações promovidas pelo art. 3º da MPV ao Prorelit dizem respeito: a) ao termo final de adesão, que passa a ser 30 de outubro de 2015; e b) aos percentuais mínimos para pagamento em espécie (30%, 33% ou 36%), que são fixados de maneira menos onerosa do que o estabelecido na MPV nº 685, de 2015</w:t>
      </w:r>
      <w:r w:rsidR="00D93218">
        <w:t xml:space="preserve"> (43%)</w:t>
      </w:r>
      <w:r w:rsidRPr="006F3D92">
        <w:t xml:space="preserve">, a fim de estimular a adesão ao programa. </w:t>
      </w:r>
    </w:p>
    <w:p w:rsidR="006F3D92" w:rsidRPr="006F3D92" w:rsidRDefault="006F3D92" w:rsidP="006F3D92">
      <w:pPr>
        <w:pStyle w:val="06-Pargrafodetexto-CLG"/>
      </w:pPr>
      <w:r w:rsidRPr="006F3D92">
        <w:lastRenderedPageBreak/>
        <w:t>A MPV entra em vigor na data de sua publicação, embora o aumento da tributação sobre ganho de capital produza efeitos apenas a partir de 1º de janeiro de 2016 (art. 4º).</w:t>
      </w:r>
    </w:p>
    <w:p w:rsidR="0054464A" w:rsidRPr="00A009B5" w:rsidRDefault="0054464A" w:rsidP="0054464A">
      <w:pPr>
        <w:pStyle w:val="05-Subttulo-CLG"/>
        <w:ind w:left="426"/>
      </w:pPr>
      <w:r w:rsidRPr="00A009B5">
        <w:t>I.2 – Emendas</w:t>
      </w:r>
    </w:p>
    <w:p w:rsidR="0054464A" w:rsidRDefault="0054464A" w:rsidP="0054464A">
      <w:pPr>
        <w:pStyle w:val="06-Pargrafodetexto-CLG"/>
      </w:pPr>
      <w:r w:rsidRPr="00155A27">
        <w:t xml:space="preserve">Foram apresentadas </w:t>
      </w:r>
      <w:r w:rsidR="005B7A9A">
        <w:t>85</w:t>
      </w:r>
      <w:r w:rsidRPr="00155A27">
        <w:t xml:space="preserve"> emendas </w:t>
      </w:r>
      <w:r w:rsidR="00875270">
        <w:t>n</w:t>
      </w:r>
      <w:r w:rsidRPr="00155A27">
        <w:t xml:space="preserve">esta Comissão Mista, nos termos do art. 4º da Resolução do Congresso Nacional (CN) nº 1, de 2002, que versa sobre a tramitação das medidas provisórias. Essas emendas </w:t>
      </w:r>
      <w:r w:rsidR="005B7A9A">
        <w:t xml:space="preserve">podem ser </w:t>
      </w:r>
      <w:r>
        <w:t xml:space="preserve">classificadas em três grupos: 1º) as de pertinência temática, que dizem respeito </w:t>
      </w:r>
      <w:r w:rsidR="005B7A9A">
        <w:t>à tributação sobre ganho de capital</w:t>
      </w:r>
      <w:r>
        <w:t xml:space="preserve">; 2º) as estranhas à </w:t>
      </w:r>
      <w:r w:rsidR="005B7A9A">
        <w:t>tributação sobre ganho de capital</w:t>
      </w:r>
      <w:r>
        <w:t>, porém conexas com matéria tributária; 3º) as sem pertinência temática e sem conexão com tributos, que são, assim, matéria totalmente estranha</w:t>
      </w:r>
      <w:r w:rsidR="00875270">
        <w:t xml:space="preserve"> à MPV</w:t>
      </w:r>
      <w:r>
        <w:t>.</w:t>
      </w:r>
    </w:p>
    <w:p w:rsidR="0054464A" w:rsidRDefault="0054464A" w:rsidP="0054464A">
      <w:pPr>
        <w:pStyle w:val="05-Subttulo-CLG"/>
      </w:pPr>
      <w:r>
        <w:t>II – ANÁLISE</w:t>
      </w:r>
    </w:p>
    <w:p w:rsidR="0054464A" w:rsidRDefault="0054464A" w:rsidP="0054464A">
      <w:pPr>
        <w:pStyle w:val="06-Pargrafodetexto-CLG"/>
      </w:pPr>
      <w:r>
        <w:t>Consoante dispõe a Resolução nº 1/2002-CN, esta Comissão deverá emitir parecer antes de a matéria ser submetida aos Plenários da Câmara dos Deputados e do Senado Federal.</w:t>
      </w:r>
    </w:p>
    <w:p w:rsidR="005D5DCB" w:rsidRPr="005D5DCB" w:rsidRDefault="00E63EFB" w:rsidP="005D5DCB">
      <w:pPr>
        <w:pStyle w:val="06-Pargrafodetexto-CLG"/>
        <w:rPr>
          <w:b/>
          <w:bCs/>
        </w:rPr>
      </w:pPr>
      <w:r>
        <w:rPr>
          <w:b/>
          <w:bCs/>
        </w:rPr>
        <w:t>II</w:t>
      </w:r>
      <w:r w:rsidR="005D5DCB" w:rsidRPr="005D5DCB">
        <w:rPr>
          <w:b/>
          <w:bCs/>
        </w:rPr>
        <w:t>.1 – Constitucionalidade e juridicidade</w:t>
      </w:r>
    </w:p>
    <w:p w:rsidR="005D5DCB" w:rsidRPr="005D5DCB" w:rsidRDefault="00E63EFB" w:rsidP="005D5DCB">
      <w:pPr>
        <w:pStyle w:val="06-Pargrafodetexto-CLG"/>
        <w:rPr>
          <w:b/>
          <w:bCs/>
        </w:rPr>
      </w:pPr>
      <w:r>
        <w:rPr>
          <w:b/>
          <w:bCs/>
        </w:rPr>
        <w:t>II</w:t>
      </w:r>
      <w:r w:rsidR="005D5DCB" w:rsidRPr="005D5DCB">
        <w:rPr>
          <w:b/>
          <w:bCs/>
        </w:rPr>
        <w:t>.1.1 – Pressupostos de relevância e urgência</w:t>
      </w:r>
    </w:p>
    <w:p w:rsidR="005D5DCB" w:rsidRPr="005D5DCB" w:rsidRDefault="005D5DCB" w:rsidP="005D5DCB">
      <w:pPr>
        <w:pStyle w:val="06-Pargrafodetexto-CLG"/>
      </w:pPr>
      <w:r w:rsidRPr="005D5DCB">
        <w:lastRenderedPageBreak/>
        <w:t xml:space="preserve">Tendo em vista que a matéria tratada - direito tributário - não se encontra entre aquelas cuja veiculação por medida provisória é vedada, a legitimidade da Presidente da República para, em caso de relevância e urgência, editar a referida espécie normativa encontra amparo no art. 62 da Constituição Federal (CF). </w:t>
      </w:r>
    </w:p>
    <w:p w:rsidR="005D5DCB" w:rsidRPr="005D5DCB" w:rsidRDefault="005D5DCB" w:rsidP="005D5DCB">
      <w:pPr>
        <w:pStyle w:val="06-Pargrafodetexto-CLG"/>
      </w:pPr>
      <w:r w:rsidRPr="005D5DCB">
        <w:t xml:space="preserve">Segundo a Exposição de Motivos que a acompanha, a urgência das medidas contidas na MPV é decorrente da situação fiscal crítica em que se encontra o País, </w:t>
      </w:r>
      <w:r w:rsidRPr="005D5DCB">
        <w:rPr>
          <w:i/>
        </w:rPr>
        <w:t>que demanda incremento da base tributária e redução de benefícios fiscais</w:t>
      </w:r>
      <w:r w:rsidRPr="005D5DCB">
        <w:t>.</w:t>
      </w:r>
    </w:p>
    <w:p w:rsidR="005D5DCB" w:rsidRPr="005D5DCB" w:rsidRDefault="00E63EFB" w:rsidP="005D5DCB">
      <w:pPr>
        <w:pStyle w:val="06-Pargrafodetexto-CLG"/>
        <w:rPr>
          <w:b/>
          <w:bCs/>
        </w:rPr>
      </w:pPr>
      <w:r>
        <w:rPr>
          <w:b/>
          <w:bCs/>
        </w:rPr>
        <w:t>II</w:t>
      </w:r>
      <w:r w:rsidR="005D5DCB" w:rsidRPr="005D5DCB">
        <w:rPr>
          <w:b/>
          <w:bCs/>
        </w:rPr>
        <w:t>.1.2 – Constitucionalidade formal</w:t>
      </w:r>
    </w:p>
    <w:p w:rsidR="005D5DCB" w:rsidRPr="005D5DCB" w:rsidRDefault="005D5DCB" w:rsidP="005D5DCB">
      <w:pPr>
        <w:pStyle w:val="06-Pargrafodetexto-CLG"/>
      </w:pPr>
      <w:r w:rsidRPr="005D5DCB">
        <w:t>Na sua forma, a MPV é constitucional, pois:</w:t>
      </w:r>
    </w:p>
    <w:p w:rsidR="005D5DCB" w:rsidRPr="005D5DCB" w:rsidRDefault="005D5DCB" w:rsidP="005D5DCB">
      <w:pPr>
        <w:pStyle w:val="06-Pargrafodetexto-CLG"/>
      </w:pPr>
      <w:r w:rsidRPr="005D5DCB">
        <w:t>a) versa sobre direito tributário, matéria da qual a União é competente em concorrência com os Estados e o Distrito Federal, nos termos do art. 24, I, da CF. A competência do Congresso Nacional para dispor sobre o sistema tributário está prevista no art. 48, I, da CF;</w:t>
      </w:r>
    </w:p>
    <w:p w:rsidR="005D5DCB" w:rsidRPr="005D5DCB" w:rsidRDefault="005D5DCB" w:rsidP="005D5DCB">
      <w:pPr>
        <w:pStyle w:val="06-Pargrafodetexto-CLG"/>
      </w:pPr>
      <w:r w:rsidRPr="005D5DCB">
        <w:t>b) cuida do Imposto sobre a Renda, tributo de competência exclusiva da União, previsto no art. 153, III, da CF;</w:t>
      </w:r>
    </w:p>
    <w:p w:rsidR="005D5DCB" w:rsidRPr="005D5DCB" w:rsidRDefault="005D5DCB" w:rsidP="005D5DCB">
      <w:pPr>
        <w:pStyle w:val="06-Pargrafodetexto-CLG"/>
      </w:pPr>
      <w:r w:rsidRPr="005D5DCB">
        <w:t xml:space="preserve">c) a matéria não consta do rol de vedações de edição de medida provisória, previsto nos arts. 62, § 1º, e 246 da CF, nem </w:t>
      </w:r>
      <w:r w:rsidRPr="005D5DCB">
        <w:lastRenderedPageBreak/>
        <w:t xml:space="preserve">da lista de competências exclusivas do Congresso Nacional ou de qualquer de suas Casas, expressa nos arts. 49, 51 e 52 da CF. </w:t>
      </w:r>
    </w:p>
    <w:p w:rsidR="005D5DCB" w:rsidRPr="005D5DCB" w:rsidRDefault="00E63EFB" w:rsidP="005D5DCB">
      <w:pPr>
        <w:pStyle w:val="06-Pargrafodetexto-CLG"/>
        <w:rPr>
          <w:b/>
          <w:bCs/>
        </w:rPr>
      </w:pPr>
      <w:r>
        <w:rPr>
          <w:b/>
          <w:bCs/>
        </w:rPr>
        <w:t>II</w:t>
      </w:r>
      <w:r w:rsidR="005D5DCB" w:rsidRPr="005D5DCB">
        <w:rPr>
          <w:b/>
          <w:bCs/>
        </w:rPr>
        <w:t>.1.3 – Constitucionalidade material</w:t>
      </w:r>
    </w:p>
    <w:p w:rsidR="005D5DCB" w:rsidRPr="005D5DCB" w:rsidRDefault="005D5DCB" w:rsidP="005D5DCB">
      <w:pPr>
        <w:pStyle w:val="06-Pargrafodetexto-CLG"/>
      </w:pPr>
      <w:r w:rsidRPr="005D5DCB">
        <w:t>Materialmente, a MPV não atenta contra nenhum princípio constitucional. Ao contrário, dá concretude ao princípio da capacidade contributiva, ao instituir a progressividade de alíquotas do IRPF incidente sobre o ganho de capital. Tampouco há violação da isonomia (art. 150, II, da CF), uma vez que a MPV cuida, no caso, de tratar desigualmente os desiguais.</w:t>
      </w:r>
    </w:p>
    <w:p w:rsidR="005D5DCB" w:rsidRPr="005D5DCB" w:rsidRDefault="005D5DCB" w:rsidP="005D5DCB">
      <w:pPr>
        <w:pStyle w:val="06-Pargrafodetexto-CLG"/>
      </w:pPr>
      <w:r w:rsidRPr="005D5DCB">
        <w:t xml:space="preserve">A MPV nº 692, de 2015, ao postergar a produção de efeitos da majoração da alíquota para 1º de janeiro de 2016, respeitou o princípio da anterioridade (art. 150, III, </w:t>
      </w:r>
      <w:r w:rsidRPr="005D5DCB">
        <w:rPr>
          <w:i/>
        </w:rPr>
        <w:t>b</w:t>
      </w:r>
      <w:r w:rsidRPr="005D5DCB">
        <w:t xml:space="preserve">, da CF). Só os fatos geradores ocorridos a partir de 1º de janeiro de 2016 serão atingidos pelas novas alíquotas, o que respeita, também, o princípio da irretroatividade consagrado na alínea </w:t>
      </w:r>
      <w:r w:rsidRPr="005D5DCB">
        <w:rPr>
          <w:i/>
        </w:rPr>
        <w:t>a</w:t>
      </w:r>
      <w:r w:rsidRPr="005D5DCB">
        <w:t xml:space="preserve"> do inciso III do art. 150 da CF.</w:t>
      </w:r>
    </w:p>
    <w:p w:rsidR="005D5DCB" w:rsidRPr="005D5DCB" w:rsidRDefault="00E63EFB" w:rsidP="005D5DCB">
      <w:pPr>
        <w:pStyle w:val="06-Pargrafodetexto-CLG"/>
        <w:rPr>
          <w:b/>
          <w:bCs/>
        </w:rPr>
      </w:pPr>
      <w:r>
        <w:rPr>
          <w:b/>
          <w:bCs/>
        </w:rPr>
        <w:t>II</w:t>
      </w:r>
      <w:r w:rsidR="005D5DCB" w:rsidRPr="005D5DCB">
        <w:rPr>
          <w:b/>
          <w:bCs/>
        </w:rPr>
        <w:t>.1.4 – Juridicidade</w:t>
      </w:r>
    </w:p>
    <w:p w:rsidR="005D5DCB" w:rsidRPr="005D5DCB" w:rsidRDefault="005D5DCB" w:rsidP="005D5DCB">
      <w:pPr>
        <w:pStyle w:val="06-Pargrafodetexto-CLG"/>
      </w:pPr>
      <w:r w:rsidRPr="005D5DCB">
        <w:t xml:space="preserve">Não há dúvida quanto à juridicidade da MPV, uma vez que, por meio de instrumento legislativo adequado (medida provisória) e sem ofensa aos princípios norteadores do ordenamento </w:t>
      </w:r>
      <w:r w:rsidRPr="005D5DCB">
        <w:lastRenderedPageBreak/>
        <w:t>jurídico brasileiro, as normas propostas são inovadoras, tem caráter geral, potencial coercitivo e efetividade.</w:t>
      </w:r>
    </w:p>
    <w:p w:rsidR="005D5DCB" w:rsidRPr="005D5DCB" w:rsidRDefault="00E63EFB" w:rsidP="005D5DCB">
      <w:pPr>
        <w:pStyle w:val="06-Pargrafodetexto-CLG"/>
        <w:rPr>
          <w:b/>
          <w:bCs/>
        </w:rPr>
      </w:pPr>
      <w:r>
        <w:rPr>
          <w:b/>
          <w:bCs/>
        </w:rPr>
        <w:t>II</w:t>
      </w:r>
      <w:r w:rsidR="005D5DCB" w:rsidRPr="005D5DCB">
        <w:rPr>
          <w:b/>
          <w:bCs/>
        </w:rPr>
        <w:t xml:space="preserve">.2 </w:t>
      </w:r>
      <w:r>
        <w:rPr>
          <w:b/>
          <w:bCs/>
        </w:rPr>
        <w:t>–</w:t>
      </w:r>
      <w:r w:rsidR="005D5DCB" w:rsidRPr="005D5DCB">
        <w:rPr>
          <w:b/>
          <w:bCs/>
        </w:rPr>
        <w:t xml:space="preserve"> Adequação</w:t>
      </w:r>
      <w:r>
        <w:rPr>
          <w:b/>
          <w:bCs/>
        </w:rPr>
        <w:t xml:space="preserve"> </w:t>
      </w:r>
      <w:r w:rsidR="005D5DCB" w:rsidRPr="005D5DCB">
        <w:rPr>
          <w:b/>
          <w:bCs/>
        </w:rPr>
        <w:t>financeira e orçamentária e técnica legislativa</w:t>
      </w:r>
    </w:p>
    <w:p w:rsidR="005D5DCB" w:rsidRPr="005D5DCB" w:rsidRDefault="005D5DCB" w:rsidP="005D5DCB">
      <w:pPr>
        <w:pStyle w:val="06-Pargrafodetexto-CLG"/>
      </w:pPr>
      <w:r w:rsidRPr="005D5DCB">
        <w:t>A adequação orçamentária e financeira das medidas propostas é patente tendo em vista que não ocasionam renúncia de receitas tributárias. Ao contrário, espera-se que elas tenham impacto positivo sobre a arrecadação.</w:t>
      </w:r>
    </w:p>
    <w:p w:rsidR="0004462E" w:rsidRDefault="0082549E" w:rsidP="005D5DCB">
      <w:pPr>
        <w:pStyle w:val="06-Pargrafodetexto-CLG"/>
      </w:pPr>
      <w:r>
        <w:t>A Consultoria de Orçamentos, Fiscalização e Controle do Senado Federal</w:t>
      </w:r>
      <w:r w:rsidR="0004462E">
        <w:t xml:space="preserve"> (CONORF)</w:t>
      </w:r>
      <w:r>
        <w:t xml:space="preserve"> pronunciou-se sobre a MPV na </w:t>
      </w:r>
      <w:r w:rsidRPr="0082549E">
        <w:t>Nota Técnica de Adequação Orçamentária e Financeira nº 30/2015</w:t>
      </w:r>
      <w:r>
        <w:t>, considerando-a adequada em relação às medidas propostas nos arts. 1º e 2º, referentes ao aumento da tributação sobre os ganhos</w:t>
      </w:r>
      <w:r w:rsidR="004D350D">
        <w:t xml:space="preserve"> de capital. </w:t>
      </w:r>
    </w:p>
    <w:p w:rsidR="0004462E" w:rsidRDefault="0004462E" w:rsidP="005D5DCB">
      <w:pPr>
        <w:pStyle w:val="06-Pargrafodetexto-CLG"/>
      </w:pPr>
      <w:r>
        <w:t xml:space="preserve">Quanto </w:t>
      </w:r>
      <w:r w:rsidR="004D350D" w:rsidRPr="0004462E">
        <w:t>às medidas atinentes ao Prorelit</w:t>
      </w:r>
      <w:r>
        <w:t>, a Conorf assim se pronuncia:</w:t>
      </w:r>
    </w:p>
    <w:p w:rsidR="005D5DCB" w:rsidRPr="0004462E" w:rsidRDefault="0004462E" w:rsidP="0004462E">
      <w:pPr>
        <w:pStyle w:val="08-Citaolegal-ltimalinha-CLG"/>
      </w:pPr>
      <w:r w:rsidRPr="0004462E">
        <w:t xml:space="preserve">Quanto à regra do </w:t>
      </w:r>
      <w:r w:rsidR="00395F48" w:rsidRPr="00395F48">
        <w:rPr>
          <w:b/>
        </w:rPr>
        <w:t>caput</w:t>
      </w:r>
      <w:r w:rsidRPr="0004462E">
        <w:t xml:space="preserve"> do art. 109</w:t>
      </w:r>
      <w:r>
        <w:t xml:space="preserve"> (da LDO)</w:t>
      </w:r>
      <w:r w:rsidRPr="0004462E">
        <w:t xml:space="preserve"> de que as proposições de alteração da receita pública tenham estimativa do impacto na arrecadação e justificativa, faz-se presente na Exposição de Motivos a justificação, centrada na alteração da estrutura de incentivos ao contribuinte impulsionando-o a aderir </w:t>
      </w:r>
      <w:r w:rsidRPr="0004462E">
        <w:lastRenderedPageBreak/>
        <w:t xml:space="preserve">às condições do PRORELIT. Não consta, no entanto, qualquer estimativa financeira do resultado da medida. Trata-se </w:t>
      </w:r>
      <w:r>
        <w:t xml:space="preserve">de </w:t>
      </w:r>
      <w:r w:rsidRPr="0004462E">
        <w:t>descumprimento formal de exigência legal que, não obstante, não modifica a conclusão – aplicável ao exame de mérito - de que tende a resultar em aumento da receita pública arrecadada a curto prazo (sem alteração no montante contábil do crédito tributário), uma vez que o conteúdo da medida é a inclusão de novos aderentes a programa de compensação que acelera o recebimento de créditos em litígio. Para sanar essa inadequação formal, poderá a Comissão Mista formada para apreciação da Medida Provisória diligenciar ao Poder Executivo solicitando as estimativas em tela, com fulcro nos arts. 90, inc. V, 94 e 142 do Regimento Interno do Senado Federal</w:t>
      </w:r>
      <w:r w:rsidR="00E63EFB">
        <w:t xml:space="preserve"> </w:t>
      </w:r>
      <w:r>
        <w:t>(...)</w:t>
      </w:r>
      <w:r w:rsidRPr="0004462E">
        <w:t>.</w:t>
      </w:r>
    </w:p>
    <w:p w:rsidR="005D5DCB" w:rsidRPr="005D5DCB" w:rsidRDefault="005D5DCB" w:rsidP="005D5DCB">
      <w:pPr>
        <w:pStyle w:val="06-Pargrafodetexto-CLG"/>
      </w:pPr>
      <w:r w:rsidRPr="005D5DCB">
        <w:t>A técnica legislativa atende aos requisitos da Lei Complementar (LCP) nº 95, de 26 de fevereiro de 1998</w:t>
      </w:r>
      <w:r w:rsidR="00875270">
        <w:t>, que regulamenta o parágrafo único do art. 159 da CF, que trata da elaboração, redação e alteração de leis</w:t>
      </w:r>
      <w:r w:rsidRPr="005D5DCB">
        <w:t>.</w:t>
      </w:r>
    </w:p>
    <w:p w:rsidR="005D5DCB" w:rsidRPr="005D5DCB" w:rsidRDefault="00E63EFB" w:rsidP="005D5DCB">
      <w:pPr>
        <w:pStyle w:val="06-Pargrafodetexto-CLG"/>
        <w:rPr>
          <w:b/>
          <w:bCs/>
        </w:rPr>
      </w:pPr>
      <w:r>
        <w:rPr>
          <w:b/>
          <w:bCs/>
        </w:rPr>
        <w:t>II</w:t>
      </w:r>
      <w:r w:rsidR="005D5DCB" w:rsidRPr="005D5DCB">
        <w:rPr>
          <w:b/>
          <w:bCs/>
        </w:rPr>
        <w:t>.3 – Mérito</w:t>
      </w:r>
    </w:p>
    <w:p w:rsidR="005D5DCB" w:rsidRDefault="005D5DCB" w:rsidP="005D5DCB">
      <w:pPr>
        <w:pStyle w:val="06-Pargrafodetexto-CLG"/>
      </w:pPr>
      <w:r w:rsidRPr="005D5DCB">
        <w:t>No mérito, ainda que a medida tenha sido motivada pelos seus efeitos fiscais</w:t>
      </w:r>
      <w:r w:rsidR="00143C8A">
        <w:t xml:space="preserve"> e produza aumento de carga tributária</w:t>
      </w:r>
      <w:r w:rsidRPr="005D5DCB">
        <w:t>, a tributação progressiva do ganho de capital no IRPF</w:t>
      </w:r>
      <w:r w:rsidR="00F45955">
        <w:t xml:space="preserve"> prevista</w:t>
      </w:r>
      <w:r w:rsidR="00440BB3">
        <w:t xml:space="preserve"> está em acordo com o </w:t>
      </w:r>
      <w:r w:rsidRPr="005D5DCB">
        <w:t xml:space="preserve">princípio da isonomia e do seu corolário no direito tributário, o princípio da capacidade contributiva. </w:t>
      </w:r>
      <w:r w:rsidR="00440BB3">
        <w:t xml:space="preserve">Ressalte-se que </w:t>
      </w:r>
      <w:r w:rsidRPr="005D5DCB">
        <w:lastRenderedPageBreak/>
        <w:t xml:space="preserve">a tributação sobre o ganho de capital </w:t>
      </w:r>
      <w:r w:rsidR="001E2B1E">
        <w:t>era feita com alíquota única, de forma</w:t>
      </w:r>
      <w:r w:rsidRPr="005D5DCB">
        <w:t xml:space="preserve"> definitiva</w:t>
      </w:r>
      <w:r w:rsidR="00F45955">
        <w:t xml:space="preserve"> à alíquota de 15%.</w:t>
      </w:r>
      <w:r w:rsidRPr="005D5DCB">
        <w:t xml:space="preserve"> </w:t>
      </w:r>
    </w:p>
    <w:p w:rsidR="00791F9F" w:rsidRPr="00704C38" w:rsidRDefault="001521B5" w:rsidP="008D63FB">
      <w:pPr>
        <w:pStyle w:val="06-Pargrafodetexto-CLG"/>
        <w:rPr>
          <w:bCs/>
          <w:szCs w:val="28"/>
        </w:rPr>
      </w:pPr>
      <w:r>
        <w:t xml:space="preserve">A mais importante </w:t>
      </w:r>
      <w:r w:rsidR="009A18B4">
        <w:t xml:space="preserve">modificação introduzida no texto do projeto de lei de conversão </w:t>
      </w:r>
      <w:r>
        <w:t xml:space="preserve">é a redução das alíquotas de incidência de imposto de renda a </w:t>
      </w:r>
      <w:r w:rsidRPr="00A9387E">
        <w:rPr>
          <w:szCs w:val="28"/>
        </w:rPr>
        <w:t xml:space="preserve">que se refere a </w:t>
      </w:r>
      <w:r w:rsidRPr="00704C38">
        <w:rPr>
          <w:szCs w:val="28"/>
        </w:rPr>
        <w:t xml:space="preserve">redação proposta no art. 1º da MP 692, de 2015, para o art. 21 da Lei nº </w:t>
      </w:r>
      <w:r w:rsidR="009A18B4" w:rsidRPr="00704C38">
        <w:rPr>
          <w:szCs w:val="28"/>
        </w:rPr>
        <w:t>8.981, de 20 de janeiro de 1995. Isso tem o</w:t>
      </w:r>
      <w:r w:rsidRPr="00704C38">
        <w:rPr>
          <w:szCs w:val="28"/>
        </w:rPr>
        <w:t xml:space="preserve"> objetivo de mitigar distorções </w:t>
      </w:r>
      <w:r w:rsidRPr="00704C38">
        <w:rPr>
          <w:bCs/>
          <w:szCs w:val="28"/>
        </w:rPr>
        <w:t>que a majoração de tributação sobre ganhos de capital produzirá</w:t>
      </w:r>
      <w:r w:rsidR="00B51CC2" w:rsidRPr="00704C38">
        <w:rPr>
          <w:bCs/>
          <w:szCs w:val="28"/>
        </w:rPr>
        <w:t xml:space="preserve"> em relação à</w:t>
      </w:r>
      <w:r w:rsidRPr="00704C38">
        <w:rPr>
          <w:bCs/>
          <w:szCs w:val="28"/>
        </w:rPr>
        <w:t xml:space="preserve"> atratividade</w:t>
      </w:r>
      <w:r w:rsidR="007E1DA9" w:rsidRPr="00704C38">
        <w:rPr>
          <w:bCs/>
          <w:szCs w:val="28"/>
        </w:rPr>
        <w:t xml:space="preserve"> de inversões diretas em capital de empresas</w:t>
      </w:r>
      <w:r w:rsidRPr="00704C38">
        <w:rPr>
          <w:bCs/>
          <w:szCs w:val="28"/>
        </w:rPr>
        <w:t xml:space="preserve"> frente a outros investimentos</w:t>
      </w:r>
      <w:r w:rsidR="00B51CC2" w:rsidRPr="00704C38">
        <w:rPr>
          <w:bCs/>
          <w:szCs w:val="28"/>
        </w:rPr>
        <w:t>. Aliás, registre-se que se a situação fiscal não comporta melhorias nos incentivos à assunção d</w:t>
      </w:r>
      <w:r w:rsidR="00923B57" w:rsidRPr="00704C38">
        <w:rPr>
          <w:bCs/>
          <w:szCs w:val="28"/>
        </w:rPr>
        <w:t>e risco empresarial, ao menos deve-se cuidar para evitar que se tornem tão menos atraentes ou, no limite, inviáveis</w:t>
      </w:r>
      <w:r w:rsidR="007E1DA9" w:rsidRPr="00704C38">
        <w:rPr>
          <w:bCs/>
          <w:szCs w:val="28"/>
        </w:rPr>
        <w:t>.</w:t>
      </w:r>
    </w:p>
    <w:p w:rsidR="00923B57" w:rsidRPr="00704C38" w:rsidRDefault="00791F9F" w:rsidP="008D63FB">
      <w:pPr>
        <w:pStyle w:val="06-Pargrafodetexto-CLG"/>
        <w:rPr>
          <w:bCs/>
          <w:szCs w:val="28"/>
        </w:rPr>
      </w:pPr>
      <w:r w:rsidRPr="00704C38">
        <w:rPr>
          <w:bCs/>
          <w:szCs w:val="28"/>
        </w:rPr>
        <w:t xml:space="preserve"> Ademais, vale ressaltar a decisão de elevar o teto da faixa de ganho de capital sujeita à incidência da alíquota mín</w:t>
      </w:r>
      <w:r w:rsidR="00923B57" w:rsidRPr="00704C38">
        <w:rPr>
          <w:bCs/>
          <w:szCs w:val="28"/>
        </w:rPr>
        <w:t>ima de 15% de R$ 1.000.000,00 (</w:t>
      </w:r>
      <w:r w:rsidRPr="00704C38">
        <w:rPr>
          <w:bCs/>
          <w:szCs w:val="28"/>
        </w:rPr>
        <w:t xml:space="preserve">um milhão de reais) para R$ 5.000.000,00 (cinco milhões de reais). </w:t>
      </w:r>
      <w:r w:rsidR="00B51CC2" w:rsidRPr="00704C38">
        <w:rPr>
          <w:bCs/>
          <w:szCs w:val="28"/>
        </w:rPr>
        <w:t xml:space="preserve"> Essa alteração visa a manter </w:t>
      </w:r>
      <w:r w:rsidR="00923B57" w:rsidRPr="00704C38">
        <w:rPr>
          <w:bCs/>
          <w:szCs w:val="28"/>
        </w:rPr>
        <w:t>os ganhos de capital de pessoa física decorrentes de alienação de ativos de pequenas e médias empresas sujeitos à alíquota mínima.</w:t>
      </w:r>
    </w:p>
    <w:p w:rsidR="004F58F3" w:rsidRDefault="00F45955" w:rsidP="008D63FB">
      <w:pPr>
        <w:pStyle w:val="06-Pargrafodetexto-CLG"/>
      </w:pPr>
      <w:r>
        <w:lastRenderedPageBreak/>
        <w:t xml:space="preserve">Outra modificação relevante do PLV em relação ao texto da MP 692/15 é o estabelecimento de </w:t>
      </w:r>
      <w:r w:rsidR="004F58F3">
        <w:t xml:space="preserve">mecanismo de reajuste automático em função de correções na tabela do IRPF, </w:t>
      </w:r>
      <w:r w:rsidR="00CB686B">
        <w:t>pelo</w:t>
      </w:r>
      <w:r w:rsidR="004F58F3">
        <w:t xml:space="preserve"> mesmo índice aplicado à </w:t>
      </w:r>
      <w:r w:rsidR="00C97F04">
        <w:t xml:space="preserve">menor </w:t>
      </w:r>
      <w:r w:rsidR="004F58F3">
        <w:t xml:space="preserve">alíquota </w:t>
      </w:r>
      <w:r w:rsidR="00C97F04">
        <w:t>do IRPF</w:t>
      </w:r>
      <w:r w:rsidR="001521B5">
        <w:t>, hoje de 7,5%</w:t>
      </w:r>
      <w:r w:rsidR="004F58F3">
        <w:t xml:space="preserve">. Assim, toda vez que a tabela do IRPF for reajustada, </w:t>
      </w:r>
      <w:r w:rsidR="00C97F04">
        <w:t xml:space="preserve">em especial sua menor alíquota, </w:t>
      </w:r>
      <w:r w:rsidR="004F58F3">
        <w:t>fica garantido o reajuste dos valores relativos</w:t>
      </w:r>
      <w:r w:rsidR="00C97F04">
        <w:t xml:space="preserve"> às faixas de </w:t>
      </w:r>
      <w:r w:rsidR="004F58F3">
        <w:t xml:space="preserve">tributação sobre o ganho de capital.  </w:t>
      </w:r>
    </w:p>
    <w:p w:rsidR="005D5DCB" w:rsidRPr="005D5DCB" w:rsidRDefault="005D5DCB" w:rsidP="005D5DCB">
      <w:pPr>
        <w:pStyle w:val="06-Pargrafodetexto-CLG"/>
      </w:pPr>
      <w:r w:rsidRPr="005D5DCB">
        <w:t xml:space="preserve">Em relação às alterações promovidas no Prorelit, </w:t>
      </w:r>
      <w:r w:rsidR="00C97F04">
        <w:t>em vista do aproveitamento das alterações propostas no âmbito do PLV 22/15, sugerimos a supressão dos dispositivos</w:t>
      </w:r>
      <w:r w:rsidR="001521B5">
        <w:t xml:space="preserve"> que se referem ao mencionado programa</w:t>
      </w:r>
      <w:r w:rsidR="00F45955">
        <w:t>.</w:t>
      </w:r>
      <w:r w:rsidR="00C97F04">
        <w:t xml:space="preserve"> </w:t>
      </w:r>
    </w:p>
    <w:p w:rsidR="005D5DCB" w:rsidRDefault="0004462E" w:rsidP="0054464A">
      <w:pPr>
        <w:pStyle w:val="06-Pargrafodetexto-CLG"/>
      </w:pPr>
      <w:r>
        <w:t>Com isso, elimina-se também a restrição à adequação orçamentária e financeira feita pela Conorf às medidas propostas no art. 3º</w:t>
      </w:r>
      <w:r w:rsidR="00772B0A">
        <w:t>.</w:t>
      </w:r>
    </w:p>
    <w:p w:rsidR="00066083" w:rsidRDefault="00066083" w:rsidP="0054464A">
      <w:pPr>
        <w:pStyle w:val="06-Pargrafodetexto-CLG"/>
      </w:pPr>
      <w:r>
        <w:t xml:space="preserve">Finalmente, em relação à </w:t>
      </w:r>
      <w:r w:rsidR="00CB686B">
        <w:t>sua entrada em vigor</w:t>
      </w:r>
      <w:r>
        <w:t xml:space="preserve">, achamos por bem </w:t>
      </w:r>
      <w:r w:rsidR="00CB686B">
        <w:t xml:space="preserve">acrescentar </w:t>
      </w:r>
      <w:r>
        <w:t xml:space="preserve">parágrafo </w:t>
      </w:r>
      <w:r w:rsidR="00CB686B">
        <w:t>à cláusula de vigência</w:t>
      </w:r>
      <w:r>
        <w:t xml:space="preserve">, </w:t>
      </w:r>
      <w:r w:rsidR="00CB686B">
        <w:t>de modo a</w:t>
      </w:r>
      <w:r>
        <w:t xml:space="preserve"> deixar claro que os seus efeitos se darão somente</w:t>
      </w:r>
      <w:r w:rsidRPr="00066083">
        <w:t xml:space="preserve"> em relação a alienações ocorridas a partir de 1º de janeiro de 2016, ficando afastada sua aplicação a operações consumadas antes des</w:t>
      </w:r>
      <w:r w:rsidR="00CB686B">
        <w:t>s</w:t>
      </w:r>
      <w:r w:rsidRPr="00066083">
        <w:t>a data, ainda que a definição ou recebimento do preço da alienação, total ou parcial, ocorra após 31 de dezembro de 2015.</w:t>
      </w:r>
    </w:p>
    <w:p w:rsidR="009F117B" w:rsidRDefault="00066083" w:rsidP="009F117B">
      <w:pPr>
        <w:pStyle w:val="06-Pargrafodetexto-CLG"/>
      </w:pPr>
      <w:r>
        <w:lastRenderedPageBreak/>
        <w:t>Para afastar fraudes, estabelecemos que</w:t>
      </w:r>
      <w:r w:rsidRPr="00066083">
        <w:t xml:space="preserve"> </w:t>
      </w:r>
      <w:r>
        <w:t>o ônus da prova em relação às operações feitas até 31 de dezembro será do contribuinte, que deverá fazê-lo</w:t>
      </w:r>
      <w:r w:rsidRPr="00066083">
        <w:t> </w:t>
      </w:r>
      <w:r w:rsidR="009F117B" w:rsidRPr="00146DA6">
        <w:rPr>
          <w:szCs w:val="28"/>
        </w:rPr>
        <w:t>mediante a apresentação</w:t>
      </w:r>
      <w:r w:rsidR="009F117B">
        <w:rPr>
          <w:szCs w:val="28"/>
        </w:rPr>
        <w:t xml:space="preserve"> para registro</w:t>
      </w:r>
      <w:r w:rsidR="009F117B" w:rsidRPr="00146DA6">
        <w:rPr>
          <w:szCs w:val="28"/>
        </w:rPr>
        <w:t xml:space="preserve">, até 31 de janeiro de 2016, de documento </w:t>
      </w:r>
      <w:r w:rsidR="009F117B">
        <w:rPr>
          <w:szCs w:val="28"/>
        </w:rPr>
        <w:t>ao</w:t>
      </w:r>
      <w:r w:rsidR="009F117B" w:rsidRPr="00146DA6">
        <w:rPr>
          <w:szCs w:val="28"/>
        </w:rPr>
        <w:t xml:space="preserve"> </w:t>
      </w:r>
      <w:r w:rsidR="009F117B">
        <w:rPr>
          <w:szCs w:val="28"/>
        </w:rPr>
        <w:t xml:space="preserve">Cartório de </w:t>
      </w:r>
      <w:r w:rsidR="009F117B" w:rsidRPr="00146DA6">
        <w:rPr>
          <w:szCs w:val="28"/>
        </w:rPr>
        <w:t xml:space="preserve">Registro de Títulos e Documentos, ou órgão </w:t>
      </w:r>
      <w:r w:rsidR="009F117B">
        <w:rPr>
          <w:szCs w:val="28"/>
        </w:rPr>
        <w:t>oficial as</w:t>
      </w:r>
      <w:r w:rsidR="009F117B" w:rsidRPr="00146DA6">
        <w:rPr>
          <w:szCs w:val="28"/>
        </w:rPr>
        <w:t>semelha</w:t>
      </w:r>
      <w:r w:rsidR="009F117B">
        <w:rPr>
          <w:szCs w:val="28"/>
        </w:rPr>
        <w:t>do,</w:t>
      </w:r>
      <w:r w:rsidR="009F117B" w:rsidRPr="00146DA6">
        <w:rPr>
          <w:szCs w:val="28"/>
        </w:rPr>
        <w:t xml:space="preserve"> que comprove a existência e a data do negócio.</w:t>
      </w:r>
    </w:p>
    <w:p w:rsidR="005B7A9A" w:rsidRPr="00317299" w:rsidRDefault="00E269EC" w:rsidP="009F117B">
      <w:pPr>
        <w:pStyle w:val="06-Pargrafodetexto-CLG"/>
      </w:pPr>
      <w:r w:rsidRPr="009F117B">
        <w:rPr>
          <w:b/>
        </w:rPr>
        <w:t>II</w:t>
      </w:r>
      <w:r w:rsidR="0054464A" w:rsidRPr="009F117B">
        <w:rPr>
          <w:b/>
        </w:rPr>
        <w:t>.</w:t>
      </w:r>
      <w:r w:rsidR="007D5171">
        <w:rPr>
          <w:b/>
        </w:rPr>
        <w:t>4</w:t>
      </w:r>
      <w:r w:rsidR="0054464A" w:rsidRPr="00317299">
        <w:t xml:space="preserve">– Emendas conexas </w:t>
      </w:r>
      <w:r w:rsidR="005B7A9A" w:rsidRPr="00317299">
        <w:t>à MPV nº 692, de 2015</w:t>
      </w:r>
    </w:p>
    <w:p w:rsidR="0004462E" w:rsidRPr="00317299" w:rsidRDefault="00772B0A" w:rsidP="0054464A">
      <w:pPr>
        <w:pStyle w:val="05-Pargrafodetexto-CLG"/>
      </w:pPr>
      <w:r w:rsidRPr="00317299">
        <w:t xml:space="preserve">As 85 emendas recebidas no prazo </w:t>
      </w:r>
      <w:r w:rsidR="000B442E">
        <w:t>regimental</w:t>
      </w:r>
      <w:r w:rsidR="000B442E" w:rsidRPr="00317299">
        <w:t xml:space="preserve"> </w:t>
      </w:r>
      <w:r w:rsidR="0004462E" w:rsidRPr="00317299">
        <w:t>podem ser divididas em três categorias</w:t>
      </w:r>
      <w:r w:rsidR="009F5D20" w:rsidRPr="00317299">
        <w:t xml:space="preserve"> principais</w:t>
      </w:r>
      <w:r w:rsidR="0004462E" w:rsidRPr="00317299">
        <w:t>: a) matérias conexas à MPV; b) matérias tributárias; e c) matérias estranhas ao conteúdo da MPV nº 692, de 2015.</w:t>
      </w:r>
    </w:p>
    <w:p w:rsidR="0004462E" w:rsidRPr="00317299" w:rsidRDefault="009F5D20" w:rsidP="0054464A">
      <w:pPr>
        <w:pStyle w:val="05-Pargrafodetexto-CLG"/>
      </w:pPr>
      <w:r>
        <w:t>Mesmo sendo atinentes à presente MPV,</w:t>
      </w:r>
      <w:r w:rsidR="00317299">
        <w:t xml:space="preserve"> como já previamente mencionado,</w:t>
      </w:r>
      <w:r>
        <w:t xml:space="preserve"> </w:t>
      </w:r>
      <w:r w:rsidR="00317299">
        <w:t>considerando</w:t>
      </w:r>
      <w:r>
        <w:t xml:space="preserve"> que</w:t>
      </w:r>
      <w:r w:rsidR="00772B0A">
        <w:rPr>
          <w:color w:val="FF0000"/>
        </w:rPr>
        <w:t xml:space="preserve"> </w:t>
      </w:r>
      <w:r w:rsidRPr="00317299">
        <w:t xml:space="preserve">as alterações </w:t>
      </w:r>
      <w:r w:rsidR="00772B0A" w:rsidRPr="00317299">
        <w:t xml:space="preserve">ao Programa de Redução de Litígios Tributários </w:t>
      </w:r>
      <w:r w:rsidR="005821B6">
        <w:t>foram</w:t>
      </w:r>
      <w:r w:rsidRPr="00317299">
        <w:t xml:space="preserve"> apreciadas no contexto do </w:t>
      </w:r>
      <w:r w:rsidR="00772B0A" w:rsidRPr="00317299">
        <w:t>projeto de lei de conversão da MPV nº 685,</w:t>
      </w:r>
      <w:r w:rsidRPr="00317299">
        <w:t xml:space="preserve"> de 2015,</w:t>
      </w:r>
      <w:r w:rsidR="00772B0A" w:rsidRPr="00317299">
        <w:t xml:space="preserve"> </w:t>
      </w:r>
      <w:r w:rsidR="002048F2" w:rsidRPr="00317299">
        <w:t xml:space="preserve">que o criou, </w:t>
      </w:r>
      <w:r w:rsidRPr="00317299">
        <w:t>deixamos de apreciar o mérito  das</w:t>
      </w:r>
      <w:r w:rsidR="00772B0A" w:rsidRPr="00317299">
        <w:t xml:space="preserve"> Emendas </w:t>
      </w:r>
      <w:r w:rsidR="0034307F">
        <w:t>n</w:t>
      </w:r>
      <w:r w:rsidR="007D5171">
        <w:t>º</w:t>
      </w:r>
      <w:r w:rsidR="0034307F">
        <w:t>s</w:t>
      </w:r>
      <w:r w:rsidR="00772B0A" w:rsidRPr="00317299">
        <w:t xml:space="preserve"> 11, 49 a 51, 63, 64, 67, 68 e 76</w:t>
      </w:r>
      <w:r w:rsidRPr="00317299">
        <w:t>,</w:t>
      </w:r>
      <w:r w:rsidR="00772B0A" w:rsidRPr="00317299">
        <w:t xml:space="preserve"> </w:t>
      </w:r>
      <w:r w:rsidR="002048F2" w:rsidRPr="00317299">
        <w:t xml:space="preserve">que deverão ser </w:t>
      </w:r>
      <w:r w:rsidRPr="00317299">
        <w:t>considera</w:t>
      </w:r>
      <w:r w:rsidR="002048F2" w:rsidRPr="00317299">
        <w:t>das</w:t>
      </w:r>
      <w:r w:rsidRPr="00317299">
        <w:t xml:space="preserve"> rejeitadas</w:t>
      </w:r>
      <w:r w:rsidR="002048F2" w:rsidRPr="00317299">
        <w:t xml:space="preserve"> para os efeitos desta Medida Provisória</w:t>
      </w:r>
      <w:r w:rsidRPr="00317299">
        <w:t>.</w:t>
      </w:r>
      <w:r w:rsidR="00772B0A" w:rsidRPr="00317299">
        <w:t xml:space="preserve"> </w:t>
      </w:r>
    </w:p>
    <w:p w:rsidR="0054464A" w:rsidRDefault="0004462E" w:rsidP="002048F2">
      <w:pPr>
        <w:pStyle w:val="05-Pargrafodetexto-CLG"/>
      </w:pPr>
      <w:r>
        <w:rPr>
          <w:color w:val="FF0000"/>
        </w:rPr>
        <w:t xml:space="preserve"> </w:t>
      </w:r>
      <w:r w:rsidR="009F5D20" w:rsidRPr="00317299">
        <w:t>No tocante às medidas referentes aos arts. 1º e 2º da MPV, que tratam da instituição de alíquotas progressivas do Im</w:t>
      </w:r>
      <w:r w:rsidR="009F5D20" w:rsidRPr="00317299">
        <w:lastRenderedPageBreak/>
        <w:t xml:space="preserve">posto sobre a Renda incidentes sobre o ganho de capital, as emendas recebidas </w:t>
      </w:r>
      <w:r w:rsidR="002048F2" w:rsidRPr="00317299">
        <w:t>podem ser classificadas em</w:t>
      </w:r>
      <w:r w:rsidR="009F5D20" w:rsidRPr="00317299">
        <w:t xml:space="preserve"> </w:t>
      </w:r>
      <w:r w:rsidR="002048F2" w:rsidRPr="00317299">
        <w:t>cinco</w:t>
      </w:r>
      <w:r w:rsidR="009F5D20" w:rsidRPr="00317299">
        <w:t xml:space="preserve"> </w:t>
      </w:r>
      <w:r w:rsidR="002048F2" w:rsidRPr="00317299">
        <w:t>categorias</w:t>
      </w:r>
      <w:r w:rsidR="009F5D20" w:rsidRPr="00317299">
        <w:t xml:space="preserve">: a) </w:t>
      </w:r>
      <w:r w:rsidR="002048F2" w:rsidRPr="00317299">
        <w:t xml:space="preserve">as que propõem a </w:t>
      </w:r>
      <w:r w:rsidR="001E2B1E">
        <w:t xml:space="preserve">sua </w:t>
      </w:r>
      <w:r w:rsidR="009F5D20" w:rsidRPr="00317299">
        <w:t>su</w:t>
      </w:r>
      <w:r w:rsidR="002048F2" w:rsidRPr="00317299">
        <w:t>pressão (E</w:t>
      </w:r>
      <w:r w:rsidR="009F5D20" w:rsidRPr="00317299">
        <w:t>mendas nº</w:t>
      </w:r>
      <w:r w:rsidR="002048F2" w:rsidRPr="00317299">
        <w:t>s</w:t>
      </w:r>
      <w:r w:rsidR="009F5D20" w:rsidRPr="00317299">
        <w:t xml:space="preserve"> 6, 17, 36</w:t>
      </w:r>
      <w:r w:rsidR="007826FD" w:rsidRPr="00317299">
        <w:t xml:space="preserve"> e 44); b)</w:t>
      </w:r>
      <w:r w:rsidR="002048F2" w:rsidRPr="00317299">
        <w:t xml:space="preserve"> as que propõem </w:t>
      </w:r>
      <w:r w:rsidR="009F5D20" w:rsidRPr="00317299">
        <w:t>alteração das faixas e</w:t>
      </w:r>
      <w:r w:rsidR="002048F2" w:rsidRPr="00317299">
        <w:t xml:space="preserve"> (ou)</w:t>
      </w:r>
      <w:r w:rsidR="009F5D20" w:rsidRPr="00317299">
        <w:t xml:space="preserve"> alíquotas fixadas na MPV</w:t>
      </w:r>
      <w:r w:rsidR="002048F2" w:rsidRPr="00317299">
        <w:t xml:space="preserve"> (</w:t>
      </w:r>
      <w:r w:rsidR="007826FD" w:rsidRPr="00317299">
        <w:t>Emendas nº</w:t>
      </w:r>
      <w:r w:rsidR="000B442E">
        <w:t>s</w:t>
      </w:r>
      <w:r w:rsidR="007826FD" w:rsidRPr="00317299">
        <w:t xml:space="preserve"> 7, 16, 25, 26, 34, 35, 38, 65</w:t>
      </w:r>
      <w:r w:rsidR="002048F2" w:rsidRPr="00317299">
        <w:t>)</w:t>
      </w:r>
      <w:r w:rsidR="007826FD" w:rsidRPr="00317299">
        <w:t xml:space="preserve">; c) </w:t>
      </w:r>
      <w:r w:rsidR="002048F2" w:rsidRPr="00317299">
        <w:t xml:space="preserve">as que preveem </w:t>
      </w:r>
      <w:r w:rsidR="007826FD" w:rsidRPr="00317299">
        <w:t>atualização d</w:t>
      </w:r>
      <w:r w:rsidR="002048F2" w:rsidRPr="00317299">
        <w:t>a fórmula de cálculo d</w:t>
      </w:r>
      <w:r w:rsidR="007826FD" w:rsidRPr="00317299">
        <w:t xml:space="preserve">os valores dos bens para </w:t>
      </w:r>
      <w:r w:rsidR="002048F2" w:rsidRPr="00317299">
        <w:t>efeitos de</w:t>
      </w:r>
      <w:r w:rsidR="007826FD" w:rsidRPr="00317299">
        <w:t xml:space="preserve"> apuração do ganho de capital (Emendas nº</w:t>
      </w:r>
      <w:r w:rsidR="000B442E">
        <w:t>s</w:t>
      </w:r>
      <w:r w:rsidR="007826FD" w:rsidRPr="00317299">
        <w:t xml:space="preserve"> 8,</w:t>
      </w:r>
      <w:r w:rsidR="006F40AA" w:rsidRPr="00317299">
        <w:t xml:space="preserve"> 12, 37, 40, 42, 55</w:t>
      </w:r>
      <w:r w:rsidR="00E96F4E" w:rsidRPr="00317299">
        <w:t>, 57, 58, 69, 77, 83, 84)</w:t>
      </w:r>
      <w:r w:rsidR="006F40AA" w:rsidRPr="00317299">
        <w:t xml:space="preserve"> ;</w:t>
      </w:r>
      <w:r w:rsidR="002048F2" w:rsidRPr="00317299">
        <w:t xml:space="preserve"> d)</w:t>
      </w:r>
      <w:r w:rsidR="006F40AA" w:rsidRPr="00317299">
        <w:t xml:space="preserve"> </w:t>
      </w:r>
      <w:r w:rsidR="002048F2" w:rsidRPr="00317299">
        <w:t xml:space="preserve">as que alteram a </w:t>
      </w:r>
      <w:r w:rsidR="006F40AA" w:rsidRPr="00317299">
        <w:t>vigência das medidas (Emendas nº</w:t>
      </w:r>
      <w:r w:rsidR="000B442E">
        <w:t>s</w:t>
      </w:r>
      <w:r w:rsidR="006F40AA" w:rsidRPr="00317299">
        <w:t xml:space="preserve"> 31, 53, 54</w:t>
      </w:r>
      <w:r w:rsidR="00E96F4E" w:rsidRPr="00317299">
        <w:t>); e outras (Emendas nº</w:t>
      </w:r>
      <w:r w:rsidR="000B442E">
        <w:t>s</w:t>
      </w:r>
      <w:r w:rsidR="00E96F4E" w:rsidRPr="00317299">
        <w:t xml:space="preserve"> 32, 38, 43, </w:t>
      </w:r>
      <w:r w:rsidR="002048F2" w:rsidRPr="00317299">
        <w:t xml:space="preserve">45 a 47, </w:t>
      </w:r>
      <w:r w:rsidR="00E96F4E" w:rsidRPr="00317299">
        <w:t>56 e 70).</w:t>
      </w:r>
    </w:p>
    <w:p w:rsidR="00317299" w:rsidRDefault="00317299" w:rsidP="002048F2">
      <w:pPr>
        <w:pStyle w:val="05-Pargrafodetexto-CLG"/>
      </w:pPr>
      <w:r>
        <w:t xml:space="preserve">Quanto às primeiras, </w:t>
      </w:r>
      <w:r w:rsidR="007B7550">
        <w:t>supressivas</w:t>
      </w:r>
      <w:r w:rsidR="00C51D4E">
        <w:t xml:space="preserve"> que são</w:t>
      </w:r>
      <w:r w:rsidR="007B7550">
        <w:t xml:space="preserve">, </w:t>
      </w:r>
      <w:r>
        <w:t>rejeita</w:t>
      </w:r>
      <w:r w:rsidR="00C51D4E">
        <w:t>mos</w:t>
      </w:r>
      <w:r>
        <w:t xml:space="preserve"> ante o indiscutível mérito da progressividade que se pretende instituir.</w:t>
      </w:r>
    </w:p>
    <w:p w:rsidR="00317299" w:rsidRDefault="007B7550" w:rsidP="002048F2">
      <w:pPr>
        <w:pStyle w:val="05-Pargrafodetexto-CLG"/>
      </w:pPr>
      <w:r>
        <w:t xml:space="preserve">Sobre as emendas que sugerem alteração das faixas de ganho de capital e das alíquotas do Imposto sobre a Renda sobre ele incidente, </w:t>
      </w:r>
      <w:r w:rsidR="00F45955">
        <w:t>as emendas elencadas foram parcialmente aproveitadas, exceto a 34 e a 38, que não estão plenamente alinhadas com o espírito da proposição</w:t>
      </w:r>
      <w:r w:rsidR="00066083">
        <w:t xml:space="preserve">. </w:t>
      </w:r>
    </w:p>
    <w:p w:rsidR="007B7550" w:rsidRDefault="007B7550" w:rsidP="002048F2">
      <w:pPr>
        <w:pStyle w:val="05-Pargrafodetexto-CLG"/>
      </w:pPr>
      <w:r>
        <w:t xml:space="preserve">Igualmente </w:t>
      </w:r>
      <w:r w:rsidR="009F117B">
        <w:t xml:space="preserve">ocorre </w:t>
      </w:r>
      <w:r w:rsidR="008D63FB">
        <w:t xml:space="preserve">em relação às emendas para </w:t>
      </w:r>
      <w:r>
        <w:t>atualização de valores referentes aos imóveis objeto</w:t>
      </w:r>
      <w:r w:rsidR="00A9387E">
        <w:t>s</w:t>
      </w:r>
      <w:r>
        <w:t xml:space="preserve"> de </w:t>
      </w:r>
      <w:r w:rsidR="009F117B">
        <w:t xml:space="preserve">alienações que gerem </w:t>
      </w:r>
      <w:r>
        <w:t>ganho de capital</w:t>
      </w:r>
      <w:r w:rsidR="009F117B">
        <w:t xml:space="preserve"> </w:t>
      </w:r>
      <w:r w:rsidR="008D63FB">
        <w:t>que</w:t>
      </w:r>
      <w:r>
        <w:t xml:space="preserve"> também </w:t>
      </w:r>
      <w:r w:rsidR="008D63FB">
        <w:t xml:space="preserve">devem </w:t>
      </w:r>
      <w:r>
        <w:t>ser rejeitadas.</w:t>
      </w:r>
      <w:r w:rsidR="00066083">
        <w:t xml:space="preserve"> A experiência mostra que a reindexação da economia não é um bom caminho a ser seguido. O importante é que, com a introdução de </w:t>
      </w:r>
      <w:r w:rsidR="00066083">
        <w:lastRenderedPageBreak/>
        <w:t>mecanismo de reajuste atrelado às futuras correções da tabela do IRPF,</w:t>
      </w:r>
      <w:r w:rsidR="00F45955">
        <w:t xml:space="preserve"> fica garantida alguma correção da inflação sobre a base de cálculo</w:t>
      </w:r>
      <w:r w:rsidR="00066083">
        <w:t>.</w:t>
      </w:r>
    </w:p>
    <w:p w:rsidR="007B7550" w:rsidRDefault="007B7550" w:rsidP="002048F2">
      <w:pPr>
        <w:pStyle w:val="05-Pargrafodetexto-CLG"/>
      </w:pPr>
      <w:r>
        <w:t>Quanto à vigência,</w:t>
      </w:r>
      <w:r w:rsidR="009F117B">
        <w:t xml:space="preserve"> </w:t>
      </w:r>
      <w:r w:rsidR="009078E3">
        <w:t>c</w:t>
      </w:r>
      <w:r w:rsidR="00360CBE">
        <w:t xml:space="preserve">om </w:t>
      </w:r>
      <w:r w:rsidR="009078E3">
        <w:t xml:space="preserve">a alteração que propomos, </w:t>
      </w:r>
      <w:r w:rsidR="009F117B">
        <w:t xml:space="preserve">a matéria estará bem equacionada, </w:t>
      </w:r>
      <w:r w:rsidR="00360CBE">
        <w:t>não se</w:t>
      </w:r>
      <w:r w:rsidR="009F117B">
        <w:t>ndo, pois,</w:t>
      </w:r>
      <w:r w:rsidR="00360CBE">
        <w:t xml:space="preserve"> acolhidas as emendas propostas sobre a questão.</w:t>
      </w:r>
    </w:p>
    <w:p w:rsidR="00B50E9A" w:rsidRDefault="00B50E9A" w:rsidP="002048F2">
      <w:pPr>
        <w:pStyle w:val="05-Pargrafodetexto-CLG"/>
      </w:pPr>
      <w:r>
        <w:t xml:space="preserve">Em relação às outras emendas, entendemos que a </w:t>
      </w:r>
      <w:r w:rsidR="009F117B">
        <w:t xml:space="preserve">de </w:t>
      </w:r>
      <w:r>
        <w:t>nº 32, do Deputado Bilac Pinto</w:t>
      </w:r>
      <w:r w:rsidR="00561D14">
        <w:t>,</w:t>
      </w:r>
      <w:r>
        <w:t xml:space="preserve"> contém preocupação relevante em relação à tributação do ganho de capital em operações e</w:t>
      </w:r>
      <w:r w:rsidR="00561D14">
        <w:t>n</w:t>
      </w:r>
      <w:r>
        <w:t xml:space="preserve">volvendo ações em bolsa de valores. </w:t>
      </w:r>
      <w:r w:rsidR="009F117B">
        <w:t>Ela</w:t>
      </w:r>
      <w:r>
        <w:t>, entretanto, não procede, tendo em vista que se trata de operações sobre renda variável, submetidas a regime específico de tributação. Por es</w:t>
      </w:r>
      <w:r w:rsidR="00BF4139">
        <w:t>s</w:t>
      </w:r>
      <w:r>
        <w:t>e motivo, el</w:t>
      </w:r>
      <w:r w:rsidR="00BF4139">
        <w:t>a</w:t>
      </w:r>
      <w:r>
        <w:t xml:space="preserve"> deve ser rej</w:t>
      </w:r>
      <w:r w:rsidR="005F0F2B">
        <w:t>e</w:t>
      </w:r>
      <w:r>
        <w:t>itada.</w:t>
      </w:r>
    </w:p>
    <w:p w:rsidR="00B50E9A" w:rsidRDefault="00B50E9A" w:rsidP="002048F2">
      <w:pPr>
        <w:pStyle w:val="05-Pargrafodetexto-CLG"/>
      </w:pPr>
      <w:r>
        <w:t>A Emenda nº 3</w:t>
      </w:r>
      <w:r w:rsidR="00AA58AC">
        <w:t>8</w:t>
      </w:r>
      <w:r>
        <w:t xml:space="preserve"> prevê alteração do art. 2º da MPV, para determinar a não incidência do IRPF sobre o ganho de capital quando originário de alienação de bens de uso no processo produtivo de pessoa jurídica alienante e tiver por destino a aquisição de máquinas e equipamentos substitutos que contenham avanços tecnológicos e ganhos de produtividade. Por se tratar de situação bastante específica e pouco relevante, a emenda será rejeitada.</w:t>
      </w:r>
    </w:p>
    <w:p w:rsidR="00B50E9A" w:rsidRDefault="00B50E9A" w:rsidP="002048F2">
      <w:pPr>
        <w:pStyle w:val="05-Pargrafodetexto-CLG"/>
      </w:pPr>
      <w:r>
        <w:lastRenderedPageBreak/>
        <w:t xml:space="preserve">A Emenda </w:t>
      </w:r>
      <w:r w:rsidR="00AA58AC">
        <w:t>nº 43, do Deputado Jorginho Mello, inclui as microempresas e empresa de pequeno porte optantes do Simples Nacional entre as exceções à tributação prevista no art. 2º, sem entender que são exatamente elas que o artigo pretende alcançar. A ideia desse artigo, conforme expõe a Exposição de Motivos à MPV, é impedir operações de planejamento tributário</w:t>
      </w:r>
      <w:r w:rsidR="005821B6">
        <w:t xml:space="preserve"> tendo portanto sido rejeitada</w:t>
      </w:r>
    </w:p>
    <w:p w:rsidR="005F0F2B" w:rsidRDefault="00AA58AC" w:rsidP="002048F2">
      <w:pPr>
        <w:pStyle w:val="05-Pargrafodetexto-CLG"/>
      </w:pPr>
      <w:r>
        <w:t xml:space="preserve">A Emenda </w:t>
      </w:r>
      <w:r w:rsidR="005F0F2B">
        <w:t xml:space="preserve">nº 45, do Deputado Laércio Oliveira, visa salvaguardar as regras específicas aplicáveis aos investidores estrangeiros. Tendo em vista a especificidade da situação e das regras, entendemos que a alteração pretendida </w:t>
      </w:r>
      <w:r w:rsidR="00BF4139">
        <w:t>não deve ser tratada nesta oportunidade</w:t>
      </w:r>
      <w:r w:rsidR="005F0F2B">
        <w:t>.</w:t>
      </w:r>
    </w:p>
    <w:p w:rsidR="00AA58AC" w:rsidRDefault="005F0F2B" w:rsidP="002048F2">
      <w:pPr>
        <w:pStyle w:val="05-Pargrafodetexto-CLG"/>
      </w:pPr>
      <w:r>
        <w:t>A Emenda nº 46, também do Deputado Laércio Oliveira, cria limitação temporal à regra presente no § 3º do art. 21 da Lei nº 8.981,</w:t>
      </w:r>
      <w:r w:rsidR="0034307F">
        <w:t xml:space="preserve"> de 20 de janeiro,</w:t>
      </w:r>
      <w:r>
        <w:t xml:space="preserve"> de 1995, alterado pelo art. 1º da MPV</w:t>
      </w:r>
      <w:r w:rsidR="00E773BC">
        <w:t>.</w:t>
      </w:r>
      <w:r w:rsidR="009078E3">
        <w:t xml:space="preserve"> </w:t>
      </w:r>
      <w:r w:rsidR="00E773BC">
        <w:t xml:space="preserve">O objetivo é que a cumulação dos ganhos de capital de bem ou direito vendido </w:t>
      </w:r>
      <w:r w:rsidR="005E3F58">
        <w:t xml:space="preserve">de forma </w:t>
      </w:r>
      <w:r w:rsidR="00E773BC">
        <w:t>parcelada</w:t>
      </w:r>
      <w:r w:rsidR="005E3F58">
        <w:t>,</w:t>
      </w:r>
      <w:r w:rsidR="00E773BC">
        <w:t xml:space="preserve"> para efeitos d</w:t>
      </w:r>
      <w:r w:rsidR="00BF4139">
        <w:t>o cálculo</w:t>
      </w:r>
      <w:r w:rsidR="00E773BC">
        <w:t xml:space="preserve"> </w:t>
      </w:r>
      <w:r w:rsidR="005E3F58">
        <w:t>do IRPF</w:t>
      </w:r>
      <w:r w:rsidR="00BF4139">
        <w:t xml:space="preserve"> devido</w:t>
      </w:r>
      <w:r w:rsidR="005E3F58">
        <w:t>,</w:t>
      </w:r>
      <w:r w:rsidR="00E773BC">
        <w:t xml:space="preserve"> seja restrit</w:t>
      </w:r>
      <w:r w:rsidR="005E3F58">
        <w:t>a</w:t>
      </w:r>
      <w:r w:rsidR="00E773BC">
        <w:t xml:space="preserve"> </w:t>
      </w:r>
      <w:r w:rsidR="005E3F58">
        <w:t>à</w:t>
      </w:r>
      <w:r w:rsidR="00E773BC">
        <w:t xml:space="preserve">s operações realizadas dentro de um mesmo </w:t>
      </w:r>
      <w:r w:rsidR="00923C39">
        <w:t>ano-calendário.</w:t>
      </w:r>
      <w:r w:rsidR="005E3F58">
        <w:t xml:space="preserve"> </w:t>
      </w:r>
      <w:r w:rsidR="009078E3">
        <w:t>Por ser pertinente, a alteração é acolhida nos termos de aperfeiçoamento</w:t>
      </w:r>
      <w:r w:rsidR="00923C39">
        <w:t xml:space="preserve"> por nós proposto.</w:t>
      </w:r>
      <w:r w:rsidR="009078E3">
        <w:t xml:space="preserve"> </w:t>
      </w:r>
    </w:p>
    <w:p w:rsidR="005F0F2B" w:rsidRDefault="005F0F2B" w:rsidP="002048F2">
      <w:pPr>
        <w:pStyle w:val="05-Pargrafodetexto-CLG"/>
      </w:pPr>
      <w:r>
        <w:lastRenderedPageBreak/>
        <w:t xml:space="preserve">A Emenda nº </w:t>
      </w:r>
      <w:r w:rsidR="001B32FD">
        <w:t xml:space="preserve">47, do Deputado Laércio Oliveira, inclui dispositivo para alterar o art. 18 da Lei nº 9.249, de 26 de dezembro de 1995, para deixar expresso que a tributação </w:t>
      </w:r>
      <w:r w:rsidR="00561D14">
        <w:t xml:space="preserve">dos </w:t>
      </w:r>
      <w:r w:rsidR="001B32FD">
        <w:t xml:space="preserve">contribuintes pessoa jurídica residentes ou domiciliados no exterior </w:t>
      </w:r>
      <w:r w:rsidR="00561D14">
        <w:t xml:space="preserve">será </w:t>
      </w:r>
      <w:r w:rsidR="001B32FD">
        <w:t>sobre o ganho de capital de acordo com as regras aplicáveis aos residentes no país, com alíquota de 15% (única), o que nos parece incoerente. Por esse motivo, é rejeitada.</w:t>
      </w:r>
    </w:p>
    <w:p w:rsidR="001B32FD" w:rsidRPr="00317299" w:rsidRDefault="001B32FD" w:rsidP="002048F2">
      <w:pPr>
        <w:pStyle w:val="05-Pargrafodetexto-CLG"/>
      </w:pPr>
      <w:r>
        <w:t>A Emenda nº 56, do Deputado Paes Landim, propõe a inclusão de dispositivo na Me</w:t>
      </w:r>
      <w:r w:rsidR="00FB54A4">
        <w:t>d</w:t>
      </w:r>
      <w:r>
        <w:t xml:space="preserve">ida Provisória nº 2.158-35, de 24 de agosto de 2001, para garantir a alíquota de 15% para os investimentos de brasileiros </w:t>
      </w:r>
      <w:r w:rsidR="00FB54A4">
        <w:t>realizados em moeda estrangeira. A emenda é desnecessária, dada a sua especificidade.</w:t>
      </w:r>
    </w:p>
    <w:p w:rsidR="00ED7709" w:rsidRDefault="00ED7709" w:rsidP="002048F2">
      <w:pPr>
        <w:pStyle w:val="05-Pargrafodetexto-CLG"/>
        <w:rPr>
          <w:b/>
        </w:rPr>
      </w:pPr>
    </w:p>
    <w:p w:rsidR="002048F2" w:rsidRPr="00317299" w:rsidRDefault="00561D14" w:rsidP="002048F2">
      <w:pPr>
        <w:pStyle w:val="05-Pargrafodetexto-CLG"/>
        <w:rPr>
          <w:b/>
        </w:rPr>
      </w:pPr>
      <w:r>
        <w:rPr>
          <w:b/>
        </w:rPr>
        <w:t>II</w:t>
      </w:r>
      <w:r w:rsidR="0034307F">
        <w:rPr>
          <w:b/>
        </w:rPr>
        <w:t>.4</w:t>
      </w:r>
      <w:r w:rsidR="002048F2" w:rsidRPr="00317299">
        <w:rPr>
          <w:b/>
        </w:rPr>
        <w:t>.</w:t>
      </w:r>
      <w:r w:rsidR="0034307F">
        <w:rPr>
          <w:b/>
        </w:rPr>
        <w:t>1</w:t>
      </w:r>
      <w:r w:rsidR="002048F2" w:rsidRPr="00317299">
        <w:rPr>
          <w:b/>
        </w:rPr>
        <w:t xml:space="preserve"> – Emendas com conteúdo tributário</w:t>
      </w:r>
    </w:p>
    <w:p w:rsidR="001A6389" w:rsidRPr="00317299" w:rsidRDefault="002048F2" w:rsidP="0054464A">
      <w:pPr>
        <w:pStyle w:val="06-Pargrafodetexto-CLG"/>
      </w:pPr>
      <w:r w:rsidRPr="00317299">
        <w:t>A inserção de matérias estranhas ao objeto das medidas provisórias em leis dela derivadas foi recentemente declarada inconstitucional pelo Supremo Tribunal Federal (STF)</w:t>
      </w:r>
      <w:r w:rsidR="001A6389" w:rsidRPr="00317299">
        <w:t>. A decisão foi tomada no julgamento da Ação Direta de Inconstitucionalidade (ADI) nº 5127, por meio da qual a Confederação Nacional das Profissões Liberais (CNPL) questionava alterações feitas na MP</w:t>
      </w:r>
      <w:r w:rsidR="001E2B1E">
        <w:t xml:space="preserve">V nº </w:t>
      </w:r>
      <w:r w:rsidR="001A6389" w:rsidRPr="00317299">
        <w:t>472</w:t>
      </w:r>
      <w:r w:rsidR="001E2B1E">
        <w:t xml:space="preserve">, de </w:t>
      </w:r>
      <w:r w:rsidR="00561D14">
        <w:t xml:space="preserve">15 de dezembro de </w:t>
      </w:r>
      <w:r w:rsidR="001A6389" w:rsidRPr="00317299">
        <w:t xml:space="preserve">2009, convertida na Lei nº 12.249, </w:t>
      </w:r>
      <w:r w:rsidR="001A6389" w:rsidRPr="00317299">
        <w:lastRenderedPageBreak/>
        <w:t xml:space="preserve">de </w:t>
      </w:r>
      <w:r w:rsidR="00561D14">
        <w:t xml:space="preserve">11 de junho de </w:t>
      </w:r>
      <w:r w:rsidR="001A6389" w:rsidRPr="00317299">
        <w:t xml:space="preserve">2010, que resultaram na extinção da profissão de técnico em contabilidade. A </w:t>
      </w:r>
      <w:r w:rsidR="001E2B1E">
        <w:t>lei de conversão</w:t>
      </w:r>
      <w:r w:rsidR="001A6389" w:rsidRPr="00317299">
        <w:t xml:space="preserve"> em questão </w:t>
      </w:r>
      <w:r w:rsidR="001E2B1E">
        <w:t>incluiu</w:t>
      </w:r>
      <w:r w:rsidR="001A6389" w:rsidRPr="00317299">
        <w:t xml:space="preserve"> temas diversos, que não guardam relação com a profissão de contador. Por maioria, o Plenário julgou improcedente a ação, mantendo a validade da norma questionada em razão do princípio da segurança jurídica. Contudo, o Tribunal decidiu cientificar o Congresso Nacional de que a prática é incompatível com a Constituição Federal.</w:t>
      </w:r>
    </w:p>
    <w:p w:rsidR="0054464A" w:rsidRPr="00317299" w:rsidRDefault="001A6389" w:rsidP="0054464A">
      <w:pPr>
        <w:pStyle w:val="06-Pargrafodetexto-CLG"/>
      </w:pPr>
      <w:r w:rsidRPr="00317299">
        <w:t>Em homenagem a esta decisão</w:t>
      </w:r>
      <w:r w:rsidR="0054464A" w:rsidRPr="00317299">
        <w:t>, entendemos que não devem ser acolhidas as outras emendas que</w:t>
      </w:r>
      <w:r w:rsidR="001E2B1E">
        <w:t>,</w:t>
      </w:r>
      <w:r w:rsidRPr="00317299">
        <w:t xml:space="preserve"> apesar de versarem </w:t>
      </w:r>
      <w:r w:rsidR="0054464A" w:rsidRPr="00317299">
        <w:t xml:space="preserve">sobre matéria tributária, </w:t>
      </w:r>
      <w:r w:rsidRPr="00317299">
        <w:t xml:space="preserve">não </w:t>
      </w:r>
      <w:r w:rsidR="00561D14">
        <w:t>dispõem</w:t>
      </w:r>
      <w:r w:rsidR="00561D14" w:rsidRPr="00317299">
        <w:t xml:space="preserve"> </w:t>
      </w:r>
      <w:r w:rsidRPr="00317299">
        <w:t xml:space="preserve">sobre o objeto principal do diploma legal. Por essa razão, rejeitamos as Emendas </w:t>
      </w:r>
      <w:r w:rsidR="0054464A" w:rsidRPr="00317299">
        <w:t xml:space="preserve">nºs: </w:t>
      </w:r>
      <w:r w:rsidR="008E539A" w:rsidRPr="00317299">
        <w:t>1, 2, 3, 4, 10, 13, 14, 15, 20, 21, 22, 23, 24, 27, 28, 30, 33, 39, 41, 48, 59, 61, 62, 71 a 75</w:t>
      </w:r>
      <w:r w:rsidR="0094245F" w:rsidRPr="00317299">
        <w:t xml:space="preserve"> e 82</w:t>
      </w:r>
      <w:r w:rsidR="0054464A" w:rsidRPr="00317299">
        <w:t>.</w:t>
      </w:r>
      <w:r w:rsidRPr="00317299">
        <w:t xml:space="preserve"> Entendemos</w:t>
      </w:r>
      <w:r w:rsidR="00561D14">
        <w:t>, ademais,</w:t>
      </w:r>
      <w:r w:rsidRPr="00317299">
        <w:t xml:space="preserve"> que a maioria não te</w:t>
      </w:r>
      <w:r w:rsidR="0054464A" w:rsidRPr="00317299">
        <w:t>m urgênc</w:t>
      </w:r>
      <w:r w:rsidRPr="00317299">
        <w:t>ia ou relevância. Muitas contêm conteúdo similar a</w:t>
      </w:r>
      <w:r w:rsidR="0054464A" w:rsidRPr="00317299">
        <w:t xml:space="preserve"> proposições em tramitação no Congresso Nacional, que serão examinadas com mais tempo. Outras criam novas renúncias de receita, que devem ser</w:t>
      </w:r>
      <w:r w:rsidR="001E2B1E">
        <w:t xml:space="preserve"> evitadas na atual conjuntura.</w:t>
      </w:r>
    </w:p>
    <w:p w:rsidR="0054464A" w:rsidRPr="00317299" w:rsidRDefault="00561D14" w:rsidP="0054464A">
      <w:pPr>
        <w:pStyle w:val="06-Pargrafodetexto-CLG"/>
        <w:rPr>
          <w:b/>
        </w:rPr>
      </w:pPr>
      <w:r>
        <w:rPr>
          <w:b/>
        </w:rPr>
        <w:t>II</w:t>
      </w:r>
      <w:r w:rsidR="0034307F">
        <w:rPr>
          <w:b/>
        </w:rPr>
        <w:t>.4</w:t>
      </w:r>
      <w:r w:rsidR="0054464A" w:rsidRPr="00317299">
        <w:rPr>
          <w:b/>
        </w:rPr>
        <w:t>.</w:t>
      </w:r>
      <w:r w:rsidR="0034307F">
        <w:rPr>
          <w:b/>
        </w:rPr>
        <w:t>2</w:t>
      </w:r>
      <w:r w:rsidR="0054464A" w:rsidRPr="00317299">
        <w:rPr>
          <w:b/>
        </w:rPr>
        <w:t xml:space="preserve"> Emendas estranhas ao objeto da MPV</w:t>
      </w:r>
    </w:p>
    <w:p w:rsidR="0054464A" w:rsidRPr="00317299" w:rsidRDefault="0054464A" w:rsidP="0054464A">
      <w:pPr>
        <w:pStyle w:val="05-Pargrafodetexto-CLG"/>
      </w:pPr>
      <w:r w:rsidRPr="00317299">
        <w:t>A</w:t>
      </w:r>
      <w:r w:rsidR="001A6389" w:rsidRPr="00317299">
        <w:t>lém da decisão do ST</w:t>
      </w:r>
      <w:r w:rsidR="00561D14">
        <w:t>F</w:t>
      </w:r>
      <w:r w:rsidR="001A6389" w:rsidRPr="00317299">
        <w:t xml:space="preserve"> citada, que recomenda a rejeição de emendas que não guardem relação de conexão com o con</w:t>
      </w:r>
      <w:r w:rsidR="001A6389" w:rsidRPr="00317299">
        <w:lastRenderedPageBreak/>
        <w:t>teúdo da MPV, a</w:t>
      </w:r>
      <w:r w:rsidRPr="00317299">
        <w:t xml:space="preserve"> L</w:t>
      </w:r>
      <w:r w:rsidR="001A6389" w:rsidRPr="00317299">
        <w:t>ei Complementar (LCP)</w:t>
      </w:r>
      <w:r w:rsidRPr="00317299">
        <w:t xml:space="preserve"> nº 95, de 26 de fevereiro de 1998 (</w:t>
      </w:r>
      <w:r w:rsidRPr="00317299">
        <w:rPr>
          <w:i/>
        </w:rPr>
        <w:t>dispõe sobre a elaboração, a redação, a alteração e a consolidação das leis</w:t>
      </w:r>
      <w:r w:rsidRPr="00317299">
        <w:t>)</w:t>
      </w:r>
      <w:r w:rsidR="00561D14">
        <w:t>,</w:t>
      </w:r>
      <w:r w:rsidRPr="00317299">
        <w:t xml:space="preserve"> determina, em seu art. 7º, II, </w:t>
      </w:r>
      <w:r w:rsidRPr="00317299">
        <w:rPr>
          <w:i/>
        </w:rPr>
        <w:t>que a lei não conterá matéria estranha a seu objeto ou a este não vinculada por afinidade, pertinência ou conexão</w:t>
      </w:r>
      <w:r w:rsidRPr="00317299">
        <w:t xml:space="preserve">. Em consonância com essa norma complementar </w:t>
      </w:r>
      <w:r w:rsidR="00561D14">
        <w:t>prevista n</w:t>
      </w:r>
      <w:r w:rsidRPr="00317299">
        <w:t xml:space="preserve">o art. 59, parágrafo único, da Carta Magna, abstemo-nos de acolher as emendas </w:t>
      </w:r>
      <w:r w:rsidR="001A6389" w:rsidRPr="00317299">
        <w:t>estranhas ao objeto da MPV nº 692</w:t>
      </w:r>
      <w:r w:rsidRPr="00317299">
        <w:t xml:space="preserve">, de 2015. </w:t>
      </w:r>
      <w:r w:rsidR="00E96F4E" w:rsidRPr="00317299">
        <w:t>É o caso das Emendas nº</w:t>
      </w:r>
      <w:r w:rsidR="00561D14">
        <w:t>s</w:t>
      </w:r>
      <w:r w:rsidR="00E96F4E" w:rsidRPr="00317299">
        <w:t xml:space="preserve"> 5, 9, 18, 19</w:t>
      </w:r>
      <w:r w:rsidR="00300BF6">
        <w:t>,</w:t>
      </w:r>
      <w:r w:rsidR="00E96F4E" w:rsidRPr="00317299">
        <w:t xml:space="preserve"> 29, 60, </w:t>
      </w:r>
      <w:r w:rsidR="008E539A" w:rsidRPr="00317299">
        <w:t>66, 78 a 81 e 85</w:t>
      </w:r>
      <w:r w:rsidR="00317299">
        <w:t>.</w:t>
      </w:r>
    </w:p>
    <w:p w:rsidR="0054464A" w:rsidRDefault="0054464A" w:rsidP="007F67F6">
      <w:pPr>
        <w:pStyle w:val="05-Subttulo-CLG"/>
        <w:spacing w:before="480"/>
      </w:pPr>
      <w:r>
        <w:t>III – VOTO</w:t>
      </w:r>
    </w:p>
    <w:p w:rsidR="0054464A" w:rsidRDefault="0054464A" w:rsidP="007F67F6">
      <w:pPr>
        <w:pStyle w:val="05-Pargrafodetexto-CLG"/>
        <w:spacing w:after="720"/>
      </w:pPr>
      <w:r>
        <w:t>Ante o exposto, votamos pela constitucionalidade, juridicidade e boa técnica legislativa da medida provisória, bem como pelo atendimento dos pressupostos de relevância e urgência e pela adequação financeira e orçamentária. No mérito, votamos pela aprovação da Medida Provisória nº 6</w:t>
      </w:r>
      <w:r w:rsidR="00561D14">
        <w:t>92</w:t>
      </w:r>
      <w:r>
        <w:t>, de 2015,</w:t>
      </w:r>
      <w:r w:rsidR="00923C39">
        <w:t xml:space="preserve"> da Emenda nº 46 – CM, na forma de subemenda, e das emendas de Relator</w:t>
      </w:r>
      <w:r w:rsidR="00194BFA">
        <w:t>,</w:t>
      </w:r>
      <w:r w:rsidR="00923C39">
        <w:t xml:space="preserve"> </w:t>
      </w:r>
      <w:r w:rsidR="00194BFA">
        <w:t xml:space="preserve">a seguir propostas, </w:t>
      </w:r>
      <w:r w:rsidR="00561D14">
        <w:t xml:space="preserve">e </w:t>
      </w:r>
      <w:r w:rsidR="0094245F">
        <w:t>pela rejeição d</w:t>
      </w:r>
      <w:r w:rsidR="00E773BC">
        <w:t>o restante d</w:t>
      </w:r>
      <w:r w:rsidR="0094245F">
        <w:t>as emendas apresentadas na Comissão Mista</w:t>
      </w:r>
      <w:r w:rsidR="00194BFA">
        <w:t>, tudo</w:t>
      </w:r>
      <w:r w:rsidR="00194BFA" w:rsidRPr="00194BFA">
        <w:t xml:space="preserve"> </w:t>
      </w:r>
      <w:r w:rsidR="00194BFA">
        <w:t>nos termos do seguinte Projeto de Lei de Conversão</w:t>
      </w:r>
      <w:r>
        <w:t>.</w:t>
      </w:r>
    </w:p>
    <w:p w:rsidR="0054464A" w:rsidRPr="00533C65" w:rsidRDefault="0054464A" w:rsidP="006F602F">
      <w:pPr>
        <w:pStyle w:val="02-TtuloPrincipal-CLG"/>
        <w:spacing w:after="600"/>
      </w:pPr>
      <w:r>
        <w:lastRenderedPageBreak/>
        <w:t xml:space="preserve">PROJETO DE LEI DE CONVERSÃO Nº     , DE 2015 </w:t>
      </w:r>
    </w:p>
    <w:p w:rsidR="00C4582C" w:rsidRPr="0064458A" w:rsidRDefault="00C4582C" w:rsidP="00C4582C">
      <w:pPr>
        <w:spacing w:after="960"/>
        <w:ind w:left="3686"/>
        <w:jc w:val="both"/>
        <w:rPr>
          <w:iCs/>
        </w:rPr>
      </w:pPr>
      <w:r w:rsidRPr="0016771D">
        <w:rPr>
          <w:iCs/>
        </w:rPr>
        <w:t>Altera a Lei nº 8.981, de 20 de janeiro de 1995, para dispor acerca da incidência de imposto sobre a renda na hipótese de ganho de capital em decorrência da alienação de bens e direitos de qualquer natureza</w:t>
      </w:r>
      <w:r>
        <w:rPr>
          <w:iCs/>
        </w:rPr>
        <w:t>.</w:t>
      </w:r>
    </w:p>
    <w:p w:rsidR="000D757C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left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CONGRESSO NACIONAL resolve:</w:t>
      </w:r>
    </w:p>
    <w:p w:rsidR="000D757C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</w:rPr>
      </w:pPr>
      <w:r w:rsidRPr="00ED7709">
        <w:rPr>
          <w:rFonts w:ascii="Times New Roman Bold" w:hAnsi="Times New Roman Bold"/>
          <w:b/>
          <w:sz w:val="28"/>
        </w:rPr>
        <w:t>Art. 1º</w:t>
      </w:r>
      <w:r>
        <w:rPr>
          <w:rFonts w:ascii="Times New Roman" w:hAnsi="Times New Roman"/>
          <w:sz w:val="28"/>
        </w:rPr>
        <w:t xml:space="preserve"> A Lei nº 8.981, de 20 de janeiro de 1995, passa a vigorar com as seguintes alterações:</w:t>
      </w:r>
    </w:p>
    <w:p w:rsidR="000D757C" w:rsidRDefault="000D757C" w:rsidP="000D757C">
      <w:pPr>
        <w:pStyle w:val="07-Citaolegal-CLG"/>
      </w:pPr>
      <w:r>
        <w:t>“</w:t>
      </w:r>
      <w:r w:rsidRPr="0016771D">
        <w:t>Art. 21. O ganho de capital percebido por pessoa física</w:t>
      </w:r>
      <w:r>
        <w:t xml:space="preserve"> </w:t>
      </w:r>
      <w:r w:rsidRPr="0016771D">
        <w:t>em decorrência da alienação de bens e direitos de qualquer natureza sujeita-se à incidência do imposto sobre a renda, com as seguintes alíquotas:</w:t>
      </w:r>
    </w:p>
    <w:p w:rsidR="000D757C" w:rsidRPr="001A1F8F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  <w:shd w:val="clear" w:color="auto" w:fill="FFFF33"/>
          <w:lang w:val="pt-BR"/>
        </w:rPr>
      </w:pPr>
    </w:p>
    <w:p w:rsidR="000D757C" w:rsidRPr="00321F0D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 w:rsidRPr="00321F0D">
        <w:rPr>
          <w:rFonts w:ascii="Times New Roman" w:hAnsi="Times New Roman"/>
        </w:rPr>
        <w:t>I - 15% (quinze por cento) sobre a parcela dos</w:t>
      </w:r>
      <w:r>
        <w:rPr>
          <w:rFonts w:ascii="Times New Roman" w:hAnsi="Times New Roman"/>
        </w:rPr>
        <w:t xml:space="preserve"> ganhos que não ultrapassar R$ 5.000.000,00 (cinco milhões</w:t>
      </w:r>
      <w:r w:rsidRPr="00321F0D">
        <w:rPr>
          <w:rFonts w:ascii="Times New Roman" w:hAnsi="Times New Roman"/>
        </w:rPr>
        <w:t xml:space="preserve"> de reais);</w:t>
      </w:r>
    </w:p>
    <w:p w:rsidR="000D757C" w:rsidRPr="00321F0D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 – 17,5</w:t>
      </w:r>
      <w:r w:rsidRPr="00321F0D">
        <w:rPr>
          <w:rFonts w:ascii="Times New Roman" w:hAnsi="Times New Roman"/>
        </w:rPr>
        <w:t>% (</w:t>
      </w:r>
      <w:r>
        <w:rPr>
          <w:rFonts w:ascii="Times New Roman" w:hAnsi="Times New Roman"/>
        </w:rPr>
        <w:t xml:space="preserve">dezessete e meio </w:t>
      </w:r>
      <w:r w:rsidRPr="00321F0D">
        <w:rPr>
          <w:rFonts w:ascii="Times New Roman" w:hAnsi="Times New Roman"/>
        </w:rPr>
        <w:t>por cento) sobre a par</w:t>
      </w:r>
      <w:r>
        <w:rPr>
          <w:rFonts w:ascii="Times New Roman" w:hAnsi="Times New Roman"/>
        </w:rPr>
        <w:t>cela dos ganhos que exceder R$ 5.000.000,00 (cinco milhões</w:t>
      </w:r>
      <w:r w:rsidRPr="00321F0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de reais) e não ultrapassar R$ 10.000.000,00 (dez </w:t>
      </w:r>
      <w:r w:rsidRPr="00321F0D">
        <w:rPr>
          <w:rFonts w:ascii="Times New Roman" w:hAnsi="Times New Roman"/>
        </w:rPr>
        <w:t xml:space="preserve"> milhões de reais);</w:t>
      </w:r>
    </w:p>
    <w:p w:rsidR="000D757C" w:rsidRPr="00321F0D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III – 20</w:t>
      </w:r>
      <w:r w:rsidRPr="00321F0D">
        <w:rPr>
          <w:rFonts w:ascii="Times New Roman" w:hAnsi="Times New Roman"/>
        </w:rPr>
        <w:t>% (vinte por cento) sobre a par</w:t>
      </w:r>
      <w:r>
        <w:rPr>
          <w:rFonts w:ascii="Times New Roman" w:hAnsi="Times New Roman"/>
        </w:rPr>
        <w:t>cela dos ganhos que exceder R$ 10.000.000,00 (dez</w:t>
      </w:r>
      <w:r w:rsidRPr="00321F0D">
        <w:rPr>
          <w:rFonts w:ascii="Times New Roman" w:hAnsi="Times New Roman"/>
        </w:rPr>
        <w:t xml:space="preserve"> milhões de reais) e não ultrap</w:t>
      </w:r>
      <w:r>
        <w:rPr>
          <w:rFonts w:ascii="Times New Roman" w:hAnsi="Times New Roman"/>
        </w:rPr>
        <w:t>assar R$ 30.000.000,00 (trinta</w:t>
      </w:r>
      <w:r w:rsidRPr="00321F0D">
        <w:rPr>
          <w:rFonts w:ascii="Times New Roman" w:hAnsi="Times New Roman"/>
        </w:rPr>
        <w:t xml:space="preserve"> milhões de reais); e</w:t>
      </w:r>
    </w:p>
    <w:p w:rsidR="000D757C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 w:rsidRPr="00321F0D">
        <w:rPr>
          <w:rFonts w:ascii="Times New Roman" w:hAnsi="Times New Roman"/>
        </w:rPr>
        <w:t>IV –</w:t>
      </w:r>
      <w:r>
        <w:rPr>
          <w:rFonts w:ascii="Times New Roman" w:hAnsi="Times New Roman"/>
        </w:rPr>
        <w:t>22,5</w:t>
      </w:r>
      <w:r w:rsidRPr="00321F0D">
        <w:rPr>
          <w:rFonts w:ascii="Times New Roman" w:hAnsi="Times New Roman"/>
        </w:rPr>
        <w:t>% (</w:t>
      </w:r>
      <w:r>
        <w:rPr>
          <w:rFonts w:ascii="Times New Roman" w:hAnsi="Times New Roman"/>
        </w:rPr>
        <w:t xml:space="preserve">vinte e dois e meio </w:t>
      </w:r>
      <w:r w:rsidRPr="00321F0D">
        <w:rPr>
          <w:rFonts w:ascii="Times New Roman" w:hAnsi="Times New Roman"/>
        </w:rPr>
        <w:t>por cento) sobre a parcela</w:t>
      </w:r>
      <w:r>
        <w:rPr>
          <w:rFonts w:ascii="Times New Roman" w:hAnsi="Times New Roman"/>
        </w:rPr>
        <w:t xml:space="preserve"> dos ganhos que ultrapassar R$ 30.000.000,00 (trinta milhões </w:t>
      </w:r>
      <w:r w:rsidRPr="00321F0D">
        <w:rPr>
          <w:rFonts w:ascii="Times New Roman" w:hAnsi="Times New Roman"/>
        </w:rPr>
        <w:t>de reais).</w:t>
      </w:r>
    </w:p>
    <w:p w:rsidR="000D757C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</w:t>
      </w:r>
    </w:p>
    <w:p w:rsidR="000D757C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3º Na hipótese de alienação em partes do mesmo bem ou direito, a partir da segunda operação, desde que realizada até o final do ano-calendário seguinte ao da primeira operação, o ganho de capital deve ser somado aos ganhos auferidos nas operações anteriores, para fins da apuração do imposto na forma do </w:t>
      </w:r>
      <w:r>
        <w:rPr>
          <w:rFonts w:ascii="Times New Roman Italic" w:hAnsi="Times New Roman Italic"/>
        </w:rPr>
        <w:t>caput</w:t>
      </w:r>
      <w:r>
        <w:rPr>
          <w:rFonts w:ascii="Times New Roman" w:hAnsi="Times New Roman"/>
        </w:rPr>
        <w:t>, deduzindo-se o montante do imposto pago nas operações anteriores.</w:t>
      </w:r>
    </w:p>
    <w:p w:rsidR="000D757C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48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§ 4º Para fins do disposto neste artigo, considera-se integrante do mesmo bem ou direito o conjunto de ações ou quotas de uma mesma pessoa jurídica.” (NR)</w:t>
      </w:r>
    </w:p>
    <w:p w:rsidR="000D757C" w:rsidRDefault="000D757C" w:rsidP="00ED7709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48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5º Os valores dos ganhos de que tratam os incisos I a IV do </w:t>
      </w:r>
      <w:r>
        <w:rPr>
          <w:rFonts w:ascii="Times New Roman Italic" w:hAnsi="Times New Roman Italic"/>
        </w:rPr>
        <w:t>caput</w:t>
      </w:r>
      <w:r>
        <w:rPr>
          <w:rFonts w:ascii="Times New Roman" w:hAnsi="Times New Roman"/>
        </w:rPr>
        <w:t xml:space="preserve"> serão ajustados no mesmo percentual aplicado para o ajuste do valor da faixa da tabela progressiva mensal do imposto sobre a renda de pessoas físicas correspondente à menor alíquota.” (NR)</w:t>
      </w:r>
    </w:p>
    <w:p w:rsidR="000D757C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</w:rPr>
      </w:pPr>
      <w:r w:rsidRPr="00ED7709">
        <w:rPr>
          <w:rFonts w:ascii="Times New Roman Bold" w:hAnsi="Times New Roman Bold"/>
          <w:b/>
          <w:sz w:val="28"/>
        </w:rPr>
        <w:lastRenderedPageBreak/>
        <w:t>Art. 2º</w:t>
      </w:r>
      <w:r>
        <w:rPr>
          <w:rFonts w:ascii="Times New Roman" w:hAnsi="Times New Roman"/>
          <w:sz w:val="28"/>
        </w:rPr>
        <w:t xml:space="preserve"> O ganho de capital percebido por pessoa jurídica em decorrência da alienação de bens e direitos do ativo não-circulante sujeita-se à incidência do imposto sobre a renda, com a aplicação das alíquotas do </w:t>
      </w:r>
      <w:r>
        <w:rPr>
          <w:rFonts w:ascii="Times New Roman Italic" w:hAnsi="Times New Roman Italic"/>
          <w:sz w:val="28"/>
        </w:rPr>
        <w:t>caput</w:t>
      </w:r>
      <w:r>
        <w:rPr>
          <w:rFonts w:ascii="Times New Roman" w:hAnsi="Times New Roman"/>
          <w:sz w:val="28"/>
        </w:rPr>
        <w:t xml:space="preserve"> do art. 21 da Lei nº 8.981, </w:t>
      </w:r>
      <w:r w:rsidR="0034307F">
        <w:rPr>
          <w:rFonts w:ascii="Times New Roman" w:hAnsi="Times New Roman"/>
          <w:sz w:val="28"/>
        </w:rPr>
        <w:t xml:space="preserve">de 20 de janeiro, </w:t>
      </w:r>
      <w:r>
        <w:rPr>
          <w:rFonts w:ascii="Times New Roman" w:hAnsi="Times New Roman"/>
          <w:sz w:val="28"/>
        </w:rPr>
        <w:t>de 1995, e do disposto nos §§ 1º, 3º e 4º do referido artigo, exceto para as pessoas jurídicas tributadas com base no lucro real, presumido ou arbitrado.</w:t>
      </w:r>
    </w:p>
    <w:p w:rsidR="000D757C" w:rsidRDefault="00ED7709" w:rsidP="00ED7709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 Bold" w:hAnsi="Times New Roman Bold"/>
          <w:sz w:val="28"/>
        </w:rPr>
        <w:tab/>
      </w:r>
      <w:r>
        <w:rPr>
          <w:rFonts w:ascii="Times New Roman Bold" w:hAnsi="Times New Roman Bold"/>
          <w:sz w:val="28"/>
        </w:rPr>
        <w:tab/>
      </w:r>
      <w:r>
        <w:rPr>
          <w:rFonts w:ascii="Times New Roman Bold" w:hAnsi="Times New Roman Bold"/>
          <w:sz w:val="28"/>
        </w:rPr>
        <w:tab/>
      </w:r>
      <w:r w:rsidR="000D757C" w:rsidRPr="00ED7709">
        <w:rPr>
          <w:rFonts w:ascii="Times New Roman Bold" w:hAnsi="Times New Roman Bold"/>
          <w:b/>
          <w:sz w:val="28"/>
        </w:rPr>
        <w:t>Art. 3º</w:t>
      </w:r>
      <w:r w:rsidR="000D757C">
        <w:rPr>
          <w:rFonts w:ascii="Times New Roman Bold" w:hAnsi="Times New Roman Bold"/>
          <w:sz w:val="28"/>
        </w:rPr>
        <w:t xml:space="preserve"> </w:t>
      </w:r>
      <w:r w:rsidR="000D757C">
        <w:rPr>
          <w:rFonts w:ascii="Times New Roman" w:hAnsi="Times New Roman"/>
          <w:sz w:val="28"/>
        </w:rPr>
        <w:t>Esta Lei entra em vigor na data de sua publicação, produzindo efeitos a partir de 1º de janeiro de 2016.</w:t>
      </w:r>
    </w:p>
    <w:p w:rsidR="000D757C" w:rsidRDefault="000D757C" w:rsidP="000D757C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§1º Para efeitos de interpretação, o disposto nos arts. 1º e 2º apenas produz efeitos em relação a alienações ocorridas a partir de 1º de janeiro de 2016, ficando afastada sua aplicação a operações consumadas antes dessa data, ainda que a definição ou recebimento do preço da alienação, total ou parcialmente, ocorra após 31 de dezembro de 2015.</w:t>
      </w:r>
    </w:p>
    <w:p w:rsidR="007F67F6" w:rsidRDefault="000D757C" w:rsidP="006F602F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080"/>
        <w:ind w:firstLine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§2º O ônus da prova de que a operação foi consumada até 31 de dezembro de 2015 caberá ao contribuinte, mediante a apresentação para registro, até 31 de janeiro de 2016, de documento ao Cartório de Registro de Títulos e Documentos, ou órgão oficial assemelhado, que comprove a existência e a data do negócio.</w:t>
      </w:r>
      <w:bookmarkStart w:id="1" w:name="art40§1ii"/>
      <w:bookmarkEnd w:id="1"/>
    </w:p>
    <w:p w:rsidR="00C12C6A" w:rsidRPr="007F67F6" w:rsidRDefault="006F3D92" w:rsidP="007F67F6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  <w:szCs w:val="28"/>
        </w:rPr>
      </w:pPr>
      <w:r w:rsidRPr="007F67F6">
        <w:rPr>
          <w:rFonts w:ascii="Times New Roman" w:hAnsi="Times New Roman"/>
          <w:sz w:val="28"/>
          <w:szCs w:val="28"/>
        </w:rPr>
        <w:lastRenderedPageBreak/>
        <w:t>Sala da Comissão,</w:t>
      </w:r>
    </w:p>
    <w:p w:rsidR="006F3D92" w:rsidRPr="007F67F6" w:rsidRDefault="006F3D92" w:rsidP="00A54D77">
      <w:pPr>
        <w:pStyle w:val="11-Assinaturas-CLG"/>
        <w:rPr>
          <w:szCs w:val="28"/>
        </w:rPr>
      </w:pPr>
      <w:r w:rsidRPr="007F67F6">
        <w:rPr>
          <w:szCs w:val="28"/>
        </w:rPr>
        <w:t>, Presidente</w:t>
      </w:r>
    </w:p>
    <w:p w:rsidR="00724EAB" w:rsidRDefault="006F3D92" w:rsidP="007F67F6">
      <w:pPr>
        <w:pStyle w:val="11-Assinaturas-CLG"/>
      </w:pPr>
      <w:r w:rsidRPr="007F67F6">
        <w:rPr>
          <w:szCs w:val="28"/>
        </w:rPr>
        <w:t>, Relator</w:t>
      </w:r>
    </w:p>
    <w:sectPr w:rsidR="00724EAB" w:rsidSect="00ED7709">
      <w:headerReference w:type="even" r:id="rId8"/>
      <w:headerReference w:type="default" r:id="rId9"/>
      <w:headerReference w:type="first" r:id="rId10"/>
      <w:pgSz w:w="11906" w:h="16838"/>
      <w:pgMar w:top="1560" w:right="1416" w:bottom="1560" w:left="1418" w:header="709" w:footer="10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7A8" w:rsidRDefault="001C17A8" w:rsidP="0054464A">
      <w:r>
        <w:separator/>
      </w:r>
    </w:p>
  </w:endnote>
  <w:endnote w:type="continuationSeparator" w:id="0">
    <w:p w:rsidR="001C17A8" w:rsidRDefault="001C17A8" w:rsidP="00544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Times New Roman Bold">
    <w:altName w:val="Times New Roman"/>
    <w:charset w:val="00"/>
    <w:family w:val="roman"/>
    <w:pitch w:val="default"/>
  </w:font>
  <w:font w:name="Times New Roman Italic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7A8" w:rsidRDefault="001C17A8" w:rsidP="0054464A">
      <w:r>
        <w:separator/>
      </w:r>
    </w:p>
  </w:footnote>
  <w:footnote w:type="continuationSeparator" w:id="0">
    <w:p w:rsidR="001C17A8" w:rsidRDefault="001C17A8" w:rsidP="005446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139" w:rsidRDefault="003D5D29" w:rsidP="007C482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F413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F4139" w:rsidRDefault="00BF4139" w:rsidP="007C482A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139" w:rsidRDefault="003D5D29" w:rsidP="007C482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F413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F073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F4139" w:rsidRDefault="00BF4139" w:rsidP="007C482A">
    <w:pPr>
      <w:pStyle w:val="Cabealho"/>
      <w:ind w:right="360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C38" w:rsidRDefault="00704C38" w:rsidP="00704C38">
    <w:pPr>
      <w:pStyle w:val="Cabealho"/>
      <w:jc w:val="center"/>
    </w:pPr>
    <w:r w:rsidRPr="00704C38">
      <w:rPr>
        <w:noProof/>
      </w:rPr>
      <w:drawing>
        <wp:inline distT="0" distB="0" distL="0" distR="0" wp14:anchorId="6AB774E9" wp14:editId="1B0CFE4A">
          <wp:extent cx="1153008" cy="723313"/>
          <wp:effectExtent l="0" t="0" r="9525" b="635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37" cy="7361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4C38" w:rsidRPr="00704C38" w:rsidRDefault="00704C38" w:rsidP="00704C38">
    <w:pPr>
      <w:pStyle w:val="02-TtuloPrincipal-CLG"/>
      <w:spacing w:after="240"/>
      <w:rPr>
        <w:sz w:val="20"/>
      </w:rPr>
    </w:pPr>
    <w:r w:rsidRPr="00704C38">
      <w:rPr>
        <w:rFonts w:eastAsiaTheme="minorHAnsi"/>
        <w:b w:val="0"/>
        <w:bCs w:val="0"/>
        <w:color w:val="000000"/>
        <w:sz w:val="20"/>
        <w:lang w:eastAsia="en-US"/>
      </w:rPr>
      <w:t xml:space="preserve"> Gabinete do Senador Tasso Jereissati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D0868F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F5E04ED"/>
    <w:multiLevelType w:val="hybridMultilevel"/>
    <w:tmpl w:val="3508E44C"/>
    <w:lvl w:ilvl="0" w:tplc="7D303E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450DCF"/>
    <w:multiLevelType w:val="hybridMultilevel"/>
    <w:tmpl w:val="9D16EAD6"/>
    <w:lvl w:ilvl="0" w:tplc="FC7EF8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2BC0A74"/>
    <w:multiLevelType w:val="hybridMultilevel"/>
    <w:tmpl w:val="84C4C87C"/>
    <w:lvl w:ilvl="0" w:tplc="AB36D4F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" w15:restartNumberingAfterBreak="0">
    <w:nsid w:val="3C280667"/>
    <w:multiLevelType w:val="hybridMultilevel"/>
    <w:tmpl w:val="9814E0BC"/>
    <w:lvl w:ilvl="0" w:tplc="CA34E3C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4D950E27"/>
    <w:multiLevelType w:val="hybridMultilevel"/>
    <w:tmpl w:val="134810C6"/>
    <w:lvl w:ilvl="0" w:tplc="A59A76A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5C655C2D"/>
    <w:multiLevelType w:val="hybridMultilevel"/>
    <w:tmpl w:val="4FE678F0"/>
    <w:lvl w:ilvl="0" w:tplc="C308AE0A">
      <w:start w:val="1"/>
      <w:numFmt w:val="lowerRoman"/>
      <w:lvlText w:val="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5EA652E6"/>
    <w:multiLevelType w:val="hybridMultilevel"/>
    <w:tmpl w:val="348C31AE"/>
    <w:lvl w:ilvl="0" w:tplc="F85C82B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602C3379"/>
    <w:multiLevelType w:val="hybridMultilevel"/>
    <w:tmpl w:val="8660B0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F73363"/>
    <w:multiLevelType w:val="hybridMultilevel"/>
    <w:tmpl w:val="51C8F8A4"/>
    <w:lvl w:ilvl="0" w:tplc="8722C31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64A"/>
    <w:rsid w:val="00025FBB"/>
    <w:rsid w:val="0004462E"/>
    <w:rsid w:val="0005653C"/>
    <w:rsid w:val="00066083"/>
    <w:rsid w:val="000B442E"/>
    <w:rsid w:val="000C2EE5"/>
    <w:rsid w:val="000C522C"/>
    <w:rsid w:val="000D757C"/>
    <w:rsid w:val="00143C8A"/>
    <w:rsid w:val="001521B5"/>
    <w:rsid w:val="00194BFA"/>
    <w:rsid w:val="001A115E"/>
    <w:rsid w:val="001A6389"/>
    <w:rsid w:val="001B32FD"/>
    <w:rsid w:val="001C17A8"/>
    <w:rsid w:val="001E2B1E"/>
    <w:rsid w:val="00200873"/>
    <w:rsid w:val="002048F2"/>
    <w:rsid w:val="00221267"/>
    <w:rsid w:val="00281CF8"/>
    <w:rsid w:val="002A3CF0"/>
    <w:rsid w:val="00300BF6"/>
    <w:rsid w:val="00317299"/>
    <w:rsid w:val="00321965"/>
    <w:rsid w:val="0033076D"/>
    <w:rsid w:val="0034307F"/>
    <w:rsid w:val="00360CBE"/>
    <w:rsid w:val="00391305"/>
    <w:rsid w:val="00395F48"/>
    <w:rsid w:val="003B48E6"/>
    <w:rsid w:val="003D5D29"/>
    <w:rsid w:val="00440BB3"/>
    <w:rsid w:val="004D350D"/>
    <w:rsid w:val="004F58F3"/>
    <w:rsid w:val="00526483"/>
    <w:rsid w:val="0054464A"/>
    <w:rsid w:val="00561D14"/>
    <w:rsid w:val="005821B6"/>
    <w:rsid w:val="005B7A9A"/>
    <w:rsid w:val="005D5DCB"/>
    <w:rsid w:val="005E3F58"/>
    <w:rsid w:val="005E478B"/>
    <w:rsid w:val="005F0F2B"/>
    <w:rsid w:val="00634399"/>
    <w:rsid w:val="006E7F9B"/>
    <w:rsid w:val="006F3D92"/>
    <w:rsid w:val="006F40AA"/>
    <w:rsid w:val="006F602F"/>
    <w:rsid w:val="00704C38"/>
    <w:rsid w:val="007153F7"/>
    <w:rsid w:val="00724EAB"/>
    <w:rsid w:val="00772B0A"/>
    <w:rsid w:val="007826FD"/>
    <w:rsid w:val="00786046"/>
    <w:rsid w:val="00791F9F"/>
    <w:rsid w:val="007B7550"/>
    <w:rsid w:val="007C482A"/>
    <w:rsid w:val="007D5171"/>
    <w:rsid w:val="007E1DA9"/>
    <w:rsid w:val="007F073D"/>
    <w:rsid w:val="007F67F6"/>
    <w:rsid w:val="0082549E"/>
    <w:rsid w:val="00853DAF"/>
    <w:rsid w:val="0085773C"/>
    <w:rsid w:val="00875270"/>
    <w:rsid w:val="008A2501"/>
    <w:rsid w:val="008C2FE3"/>
    <w:rsid w:val="008D63FB"/>
    <w:rsid w:val="008E539A"/>
    <w:rsid w:val="009078E3"/>
    <w:rsid w:val="00923B57"/>
    <w:rsid w:val="00923C39"/>
    <w:rsid w:val="0094245F"/>
    <w:rsid w:val="009A18B4"/>
    <w:rsid w:val="009B1F57"/>
    <w:rsid w:val="009F117B"/>
    <w:rsid w:val="009F5D20"/>
    <w:rsid w:val="00A52CD1"/>
    <w:rsid w:val="00A54D77"/>
    <w:rsid w:val="00A82674"/>
    <w:rsid w:val="00A9387E"/>
    <w:rsid w:val="00A95805"/>
    <w:rsid w:val="00AA58AC"/>
    <w:rsid w:val="00AC1E5C"/>
    <w:rsid w:val="00AE6E33"/>
    <w:rsid w:val="00B50E9A"/>
    <w:rsid w:val="00B51CC2"/>
    <w:rsid w:val="00B57043"/>
    <w:rsid w:val="00B62153"/>
    <w:rsid w:val="00B92CE0"/>
    <w:rsid w:val="00BF4139"/>
    <w:rsid w:val="00C05FCB"/>
    <w:rsid w:val="00C12C6A"/>
    <w:rsid w:val="00C4582C"/>
    <w:rsid w:val="00C51D4E"/>
    <w:rsid w:val="00C76A73"/>
    <w:rsid w:val="00C97F04"/>
    <w:rsid w:val="00CB686B"/>
    <w:rsid w:val="00CF76FB"/>
    <w:rsid w:val="00D0364B"/>
    <w:rsid w:val="00D93218"/>
    <w:rsid w:val="00DA0132"/>
    <w:rsid w:val="00E269EC"/>
    <w:rsid w:val="00E63EFB"/>
    <w:rsid w:val="00E773BC"/>
    <w:rsid w:val="00E94414"/>
    <w:rsid w:val="00E96F4E"/>
    <w:rsid w:val="00ED7709"/>
    <w:rsid w:val="00F45955"/>
    <w:rsid w:val="00F92068"/>
    <w:rsid w:val="00FB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A1D1EA5-62FA-473E-BA8D-031E0CE20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6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446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446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01-Minuta-CLG">
    <w:name w:val="01 - Minuta - CLG"/>
    <w:link w:val="01-Minuta-CLGChar"/>
    <w:rsid w:val="0054464A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01-Minuta-CLGChar">
    <w:name w:val="01 - Minuta - CLG Char"/>
    <w:link w:val="01-Minuta-CLG"/>
    <w:rsid w:val="0054464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54464A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2-TtuloPrincipal-CLGChar">
    <w:name w:val="02 - Título Principal - CLG Char"/>
    <w:link w:val="02-TtuloPrincipal-CLG"/>
    <w:rsid w:val="0054464A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54464A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link w:val="03-Ementa-CLG"/>
    <w:rsid w:val="0054464A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54464A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Relatoria-CLGChar">
    <w:name w:val="04 - Relatoria - CLG Char"/>
    <w:link w:val="04-Relatoria-CLG"/>
    <w:rsid w:val="0054464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54464A"/>
    <w:pPr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5-Subttulo-CLGChar">
    <w:name w:val="05 - Subtítulo - CLG Char"/>
    <w:link w:val="05-Subttulo-CLG"/>
    <w:rsid w:val="0054464A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rsid w:val="0054464A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6-Pargrafodetexto-CLGChar">
    <w:name w:val="06 - Parágrafo de texto - CLG Char"/>
    <w:link w:val="06-Pargrafodetexto-CLG"/>
    <w:rsid w:val="0054464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rsid w:val="0054464A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rsid w:val="0054464A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rsid w:val="0054464A"/>
    <w:pPr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paragraph" w:customStyle="1" w:styleId="10-Local-CLG">
    <w:name w:val="10 - Local - CLG"/>
    <w:link w:val="10-Local-CLGChar"/>
    <w:rsid w:val="0054464A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link w:val="10-Local-CLG"/>
    <w:rsid w:val="0054464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54464A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link w:val="11-Assinaturas-CLG"/>
    <w:rsid w:val="0054464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446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46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04-PargrafodetextoEstudoNotas-CLG">
    <w:name w:val="04 - Parágrafo de texto Estudo Notas - CLG"/>
    <w:link w:val="04-PargrafodetextoEstudoNotas-CLGChar"/>
    <w:rsid w:val="0054464A"/>
    <w:pPr>
      <w:spacing w:after="360" w:line="36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PargrafodetextoEstudoNotas-CLGChar">
    <w:name w:val="04 - Parágrafo de texto Estudo Notas - CLG Char"/>
    <w:basedOn w:val="Fontepargpadro"/>
    <w:link w:val="04-PargrafodetextoEstudoNotas-CLG"/>
    <w:rsid w:val="0054464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54464A"/>
    <w:pPr>
      <w:spacing w:after="200" w:line="276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54464A"/>
    <w:rPr>
      <w:rFonts w:ascii="Tahoma" w:eastAsia="Calibri" w:hAnsi="Tahoma" w:cs="Tahoma"/>
      <w:sz w:val="16"/>
      <w:szCs w:val="16"/>
      <w:lang w:eastAsia="pt-BR"/>
    </w:rPr>
  </w:style>
  <w:style w:type="paragraph" w:customStyle="1" w:styleId="06-Citaolegal-linhafinal-CLG">
    <w:name w:val="06 - Citação legal - linha final - CLG"/>
    <w:rsid w:val="0054464A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3-SubttuloEstudoNota-CLG">
    <w:name w:val="03 - Subtítulo Estudo Nota - CLG"/>
    <w:link w:val="03-SubttuloEstudoNota-CLGChar"/>
    <w:rsid w:val="0054464A"/>
    <w:pPr>
      <w:spacing w:after="360" w:line="420" w:lineRule="exact"/>
      <w:ind w:left="357" w:hanging="357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3-SubttuloEstudoNota-CLGChar">
    <w:name w:val="03 - Subtítulo Estudo Nota - CLG Char"/>
    <w:basedOn w:val="Fontepargpadro"/>
    <w:link w:val="03-SubttuloEstudoNota-CLG"/>
    <w:rsid w:val="0054464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qFormat/>
    <w:rsid w:val="0054464A"/>
    <w:pPr>
      <w:autoSpaceDE w:val="0"/>
      <w:autoSpaceDN w:val="0"/>
      <w:adjustRightInd w:val="0"/>
      <w:ind w:left="3" w:hanging="53"/>
    </w:pPr>
    <w:rPr>
      <w:rFonts w:ascii="Calibri" w:eastAsia="Calibri" w:hAnsi="Calibri" w:cs="Calibri"/>
      <w:b/>
      <w:bCs/>
      <w:sz w:val="12"/>
      <w:szCs w:val="12"/>
      <w:lang w:eastAsia="en-US"/>
    </w:rPr>
  </w:style>
  <w:style w:type="character" w:customStyle="1" w:styleId="CorpodetextoChar">
    <w:name w:val="Corpo de texto Char"/>
    <w:basedOn w:val="Fontepargpadro"/>
    <w:link w:val="Corpodetexto"/>
    <w:rsid w:val="0054464A"/>
    <w:rPr>
      <w:rFonts w:ascii="Calibri" w:eastAsia="Calibri" w:hAnsi="Calibri" w:cs="Calibri"/>
      <w:b/>
      <w:bCs/>
      <w:sz w:val="12"/>
      <w:szCs w:val="12"/>
    </w:rPr>
  </w:style>
  <w:style w:type="paragraph" w:styleId="PargrafodaLista">
    <w:name w:val="List Paragraph"/>
    <w:basedOn w:val="Normal"/>
    <w:uiPriority w:val="34"/>
    <w:qFormat/>
    <w:rsid w:val="0054464A"/>
    <w:pPr>
      <w:autoSpaceDE w:val="0"/>
      <w:autoSpaceDN w:val="0"/>
      <w:adjustRightInd w:val="0"/>
    </w:pPr>
    <w:rPr>
      <w:rFonts w:eastAsia="Calibri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4464A"/>
    <w:pPr>
      <w:autoSpaceDE w:val="0"/>
      <w:autoSpaceDN w:val="0"/>
      <w:adjustRightInd w:val="0"/>
    </w:pPr>
    <w:rPr>
      <w:rFonts w:eastAsia="Calibri"/>
      <w:lang w:eastAsia="en-US"/>
    </w:rPr>
  </w:style>
  <w:style w:type="paragraph" w:styleId="Commarcadores">
    <w:name w:val="List Bullet"/>
    <w:basedOn w:val="Normal"/>
    <w:uiPriority w:val="99"/>
    <w:unhideWhenUsed/>
    <w:rsid w:val="0054464A"/>
    <w:pPr>
      <w:numPr>
        <w:numId w:val="3"/>
      </w:numPr>
      <w:contextualSpacing/>
    </w:pPr>
  </w:style>
  <w:style w:type="paragraph" w:customStyle="1" w:styleId="05-Pargrafodetexto-CLG">
    <w:name w:val="05 - Parágrafo de texto - CLG"/>
    <w:link w:val="05-Pargrafodetexto-CLGChar"/>
    <w:rsid w:val="0054464A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Pargrafodetexto-CLGChar">
    <w:name w:val="05 - Parágrafo de texto - CLG Char"/>
    <w:link w:val="05-Pargrafodetexto-CLG"/>
    <w:rsid w:val="0054464A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semiHidden/>
    <w:rsid w:val="0054464A"/>
  </w:style>
  <w:style w:type="character" w:customStyle="1" w:styleId="03-Ementa-CLGChar">
    <w:name w:val="03 - Ementa - CLG Char"/>
    <w:rsid w:val="0054464A"/>
    <w:rPr>
      <w:bCs/>
      <w:i/>
      <w:iCs/>
      <w:sz w:val="24"/>
      <w:szCs w:val="24"/>
      <w:lang w:val="pt-BR" w:eastAsia="pt-BR" w:bidi="ar-SA"/>
    </w:rPr>
  </w:style>
  <w:style w:type="paragraph" w:customStyle="1" w:styleId="Default">
    <w:name w:val="Default"/>
    <w:rsid w:val="005446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54464A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4464A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54464A"/>
    <w:rPr>
      <w:vertAlign w:val="superscript"/>
    </w:rPr>
  </w:style>
  <w:style w:type="character" w:styleId="Refdecomentrio">
    <w:name w:val="annotation reference"/>
    <w:semiHidden/>
    <w:rsid w:val="0054464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54464A"/>
    <w:rPr>
      <w:rFonts w:eastAsia="Times New Roman"/>
    </w:rPr>
  </w:style>
  <w:style w:type="paragraph" w:styleId="Textodecomentrio">
    <w:name w:val="annotation text"/>
    <w:basedOn w:val="Normal"/>
    <w:link w:val="TextodecomentrioChar"/>
    <w:semiHidden/>
    <w:rsid w:val="0054464A"/>
    <w:rPr>
      <w:rFonts w:asciiTheme="minorHAnsi" w:hAnsiTheme="minorHAnsi" w:cstheme="minorBidi"/>
      <w:sz w:val="22"/>
      <w:szCs w:val="22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4464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4464A"/>
    <w:rPr>
      <w:rFonts w:eastAsia="Times New Roman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54464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4464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54464A"/>
    <w:pPr>
      <w:spacing w:before="120" w:after="120"/>
      <w:ind w:firstLine="1701"/>
      <w:jc w:val="both"/>
    </w:pPr>
    <w:rPr>
      <w:sz w:val="28"/>
      <w:szCs w:val="20"/>
    </w:rPr>
  </w:style>
  <w:style w:type="character" w:styleId="Hyperlink">
    <w:name w:val="Hyperlink"/>
    <w:basedOn w:val="Fontepargpadro"/>
    <w:uiPriority w:val="99"/>
    <w:unhideWhenUsed/>
    <w:rsid w:val="0054464A"/>
    <w:rPr>
      <w:color w:val="0000FF"/>
      <w:u w:val="single"/>
    </w:rPr>
  </w:style>
  <w:style w:type="paragraph" w:customStyle="1" w:styleId="FormaLivre">
    <w:name w:val="Forma Livre"/>
    <w:rsid w:val="000D757C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9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C8368D8-E001-4EF9-A0D8-8E2F9570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3570</Words>
  <Characters>19284</Characters>
  <Application>Microsoft Office Word</Application>
  <DocSecurity>4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22809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cbsantos</dc:creator>
  <cp:lastModifiedBy>Thiago Nascimento Castro Silva</cp:lastModifiedBy>
  <cp:revision>2</cp:revision>
  <cp:lastPrinted>2015-12-02T22:47:00Z</cp:lastPrinted>
  <dcterms:created xsi:type="dcterms:W3CDTF">2015-12-08T12:31:00Z</dcterms:created>
  <dcterms:modified xsi:type="dcterms:W3CDTF">2015-12-08T12:31:00Z</dcterms:modified>
</cp:coreProperties>
</file>