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Pr="00630D78" w:rsidRDefault="00B2587E" w:rsidP="006F333D">
      <w:pPr>
        <w:pStyle w:val="02-TtuloPrincipal-CLG"/>
        <w:spacing w:before="240" w:after="120"/>
        <w:rPr>
          <w:rFonts w:ascii="Arial" w:hAnsi="Arial" w:cs="Arial"/>
        </w:rPr>
      </w:pPr>
      <w:r w:rsidRPr="00630D78">
        <w:rPr>
          <w:rFonts w:ascii="Arial" w:hAnsi="Arial" w:cs="Arial"/>
        </w:rPr>
        <w:t xml:space="preserve">PROJETO DE LEI DE </w:t>
      </w:r>
      <w:r w:rsidRPr="00630D78">
        <w:rPr>
          <w:rFonts w:ascii="Arial" w:hAnsi="Arial" w:cs="Arial"/>
          <w:bCs w:val="0"/>
          <w:szCs w:val="32"/>
        </w:rPr>
        <w:t>CONVERSÃO</w:t>
      </w:r>
      <w:r w:rsidRPr="00630D78">
        <w:rPr>
          <w:rFonts w:ascii="Arial" w:hAnsi="Arial" w:cs="Arial"/>
        </w:rPr>
        <w:t xml:space="preserve"> Nº </w:t>
      </w:r>
      <w:r w:rsidR="009920DB">
        <w:rPr>
          <w:rFonts w:ascii="Arial" w:hAnsi="Arial" w:cs="Arial"/>
        </w:rPr>
        <w:t>30</w:t>
      </w:r>
      <w:bookmarkStart w:id="0" w:name="_GoBack"/>
      <w:bookmarkEnd w:id="0"/>
      <w:r w:rsidRPr="00630D78">
        <w:rPr>
          <w:rFonts w:ascii="Arial" w:hAnsi="Arial" w:cs="Arial"/>
        </w:rPr>
        <w:t>, DE 201</w:t>
      </w:r>
      <w:r w:rsidR="006630EC" w:rsidRPr="00630D78">
        <w:rPr>
          <w:rFonts w:ascii="Arial" w:hAnsi="Arial" w:cs="Arial"/>
        </w:rPr>
        <w:t>9</w:t>
      </w:r>
    </w:p>
    <w:p w:rsidR="00B2587E" w:rsidRPr="00630D78" w:rsidRDefault="00B2587E" w:rsidP="00B2587E">
      <w:pPr>
        <w:pStyle w:val="02-TtuloPrincipal-CLG"/>
        <w:rPr>
          <w:rFonts w:ascii="Arial" w:hAnsi="Arial" w:cs="Arial"/>
          <w:b w:val="0"/>
          <w:bCs w:val="0"/>
          <w:sz w:val="24"/>
          <w:szCs w:val="24"/>
        </w:rPr>
      </w:pPr>
      <w:r w:rsidRPr="00630D78">
        <w:rPr>
          <w:rFonts w:ascii="Arial" w:hAnsi="Arial" w:cs="Arial"/>
          <w:b w:val="0"/>
          <w:bCs w:val="0"/>
          <w:sz w:val="24"/>
          <w:szCs w:val="24"/>
        </w:rPr>
        <w:t xml:space="preserve">(Proveniente da Medida Provisória nº </w:t>
      </w:r>
      <w:r w:rsidR="00B911AA">
        <w:rPr>
          <w:rFonts w:ascii="Arial" w:hAnsi="Arial" w:cs="Arial"/>
          <w:b w:val="0"/>
          <w:bCs w:val="0"/>
          <w:sz w:val="24"/>
          <w:szCs w:val="24"/>
        </w:rPr>
        <w:t>897</w:t>
      </w:r>
      <w:r w:rsidRPr="00630D78">
        <w:rPr>
          <w:rFonts w:ascii="Arial" w:hAnsi="Arial" w:cs="Arial"/>
          <w:b w:val="0"/>
          <w:bCs w:val="0"/>
          <w:sz w:val="24"/>
          <w:szCs w:val="24"/>
        </w:rPr>
        <w:t>, de 20</w:t>
      </w:r>
      <w:r w:rsidR="00A454E8" w:rsidRPr="00630D78">
        <w:rPr>
          <w:rFonts w:ascii="Arial" w:hAnsi="Arial" w:cs="Arial"/>
          <w:b w:val="0"/>
          <w:bCs w:val="0"/>
          <w:sz w:val="24"/>
          <w:szCs w:val="24"/>
        </w:rPr>
        <w:t>19</w:t>
      </w:r>
      <w:r w:rsidRPr="00630D78">
        <w:rPr>
          <w:rFonts w:ascii="Arial" w:hAnsi="Arial" w:cs="Arial"/>
          <w:b w:val="0"/>
          <w:bCs w:val="0"/>
          <w:sz w:val="24"/>
          <w:szCs w:val="24"/>
        </w:rPr>
        <w:t>)</w:t>
      </w:r>
    </w:p>
    <w:p w:rsidR="00FB45FB" w:rsidRDefault="00FB45FB" w:rsidP="00630D78">
      <w:pPr>
        <w:pStyle w:val="06-Pargrafodetexto-CLG"/>
        <w:spacing w:after="720"/>
        <w:ind w:left="3540" w:firstLine="1134"/>
        <w:rPr>
          <w:rFonts w:ascii="Arial" w:hAnsi="Arial" w:cs="Arial"/>
          <w:sz w:val="24"/>
          <w:szCs w:val="24"/>
        </w:rPr>
      </w:pPr>
    </w:p>
    <w:p w:rsidR="00E741CC" w:rsidRPr="00630D78" w:rsidRDefault="00630D78" w:rsidP="00630D78">
      <w:pPr>
        <w:pStyle w:val="06-Pargrafodetexto-CLG"/>
        <w:spacing w:after="720"/>
        <w:ind w:left="3540" w:firstLine="1134"/>
        <w:rPr>
          <w:rFonts w:ascii="Arial" w:hAnsi="Arial" w:cs="Arial"/>
          <w:spacing w:val="-2"/>
        </w:rPr>
      </w:pPr>
      <w:r w:rsidRPr="00630D78">
        <w:rPr>
          <w:rFonts w:ascii="Arial" w:hAnsi="Arial" w:cs="Arial"/>
          <w:sz w:val="24"/>
          <w:szCs w:val="24"/>
        </w:rPr>
        <w:t>Institui o Fundo Garantidor Solidário, dispõe sobre o patrimônio rural em afetação, a Cédula Imobiliária Rural, a escrituração de títulos de crédito e a concessão de subvenção econômica para empresas cerealistas, e dá outras providências</w:t>
      </w:r>
    </w:p>
    <w:p w:rsidR="00630D78" w:rsidRDefault="00630D78" w:rsidP="00E741CC">
      <w:pPr>
        <w:pStyle w:val="06-Pargrafodetexto-CLG"/>
        <w:spacing w:after="720"/>
        <w:ind w:firstLine="1134"/>
        <w:rPr>
          <w:rFonts w:ascii="Arial" w:hAnsi="Arial" w:cs="Arial"/>
          <w:spacing w:val="-2"/>
        </w:rPr>
      </w:pPr>
    </w:p>
    <w:p w:rsidR="00FB45FB" w:rsidRPr="00630D78" w:rsidRDefault="00FB45FB" w:rsidP="00E741CC">
      <w:pPr>
        <w:pStyle w:val="06-Pargrafodetexto-CLG"/>
        <w:spacing w:after="720"/>
        <w:ind w:firstLine="1134"/>
        <w:rPr>
          <w:rFonts w:ascii="Arial" w:hAnsi="Arial" w:cs="Arial"/>
          <w:spacing w:val="-2"/>
        </w:rPr>
      </w:pPr>
    </w:p>
    <w:p w:rsidR="00E741CC" w:rsidRPr="00630D78" w:rsidRDefault="00E741CC" w:rsidP="00E741CC">
      <w:pPr>
        <w:pStyle w:val="06-Pargrafodetexto-CLG"/>
        <w:spacing w:after="720"/>
        <w:ind w:firstLine="1134"/>
        <w:rPr>
          <w:rFonts w:ascii="Arial" w:hAnsi="Arial" w:cs="Arial"/>
          <w:spacing w:val="-2"/>
        </w:rPr>
      </w:pPr>
      <w:r w:rsidRPr="00630D78">
        <w:rPr>
          <w:rFonts w:ascii="Arial" w:hAnsi="Arial" w:cs="Arial"/>
          <w:spacing w:val="-2"/>
        </w:rPr>
        <w:t xml:space="preserve">O </w:t>
      </w:r>
      <w:r w:rsidRPr="00630D78">
        <w:rPr>
          <w:rFonts w:ascii="Arial" w:hAnsi="Arial" w:cs="Arial"/>
          <w:b/>
          <w:spacing w:val="-2"/>
        </w:rPr>
        <w:t>CONGRESSO NACIONAL</w:t>
      </w:r>
      <w:r w:rsidRPr="00630D78">
        <w:rPr>
          <w:rFonts w:ascii="Arial" w:hAnsi="Arial" w:cs="Arial"/>
          <w:spacing w:val="-2"/>
        </w:rPr>
        <w:t xml:space="preserve"> decreta:</w:t>
      </w:r>
    </w:p>
    <w:p w:rsidR="00630D78" w:rsidRPr="00630D78" w:rsidRDefault="00630D78" w:rsidP="00630D78">
      <w:pPr>
        <w:pStyle w:val="Recuodecorpodetexto2"/>
        <w:spacing w:after="200"/>
        <w:ind w:firstLine="0"/>
        <w:jc w:val="center"/>
        <w:rPr>
          <w:rFonts w:cs="Arial"/>
          <w:b/>
          <w:szCs w:val="24"/>
        </w:rPr>
      </w:pPr>
      <w:r w:rsidRPr="00630D78">
        <w:rPr>
          <w:rFonts w:cs="Arial"/>
          <w:b/>
          <w:szCs w:val="24"/>
        </w:rPr>
        <w:t>CAPÍTULO I</w:t>
      </w:r>
    </w:p>
    <w:p w:rsidR="00630D78" w:rsidRPr="00630D78" w:rsidRDefault="00630D78" w:rsidP="00630D78">
      <w:pPr>
        <w:pStyle w:val="Recuodecorpodetexto2"/>
        <w:spacing w:after="200"/>
        <w:ind w:firstLine="0"/>
        <w:jc w:val="center"/>
        <w:rPr>
          <w:rFonts w:cs="Arial"/>
          <w:b/>
          <w:szCs w:val="24"/>
        </w:rPr>
      </w:pPr>
      <w:r w:rsidRPr="00630D78">
        <w:rPr>
          <w:rFonts w:cs="Arial"/>
          <w:b/>
          <w:szCs w:val="24"/>
        </w:rPr>
        <w:t>DO FUNDO GARANTIDOR SOLIDÁRIO</w:t>
      </w:r>
    </w:p>
    <w:p w:rsidR="00630D78" w:rsidRPr="00630D78" w:rsidRDefault="00630D78" w:rsidP="00630D78">
      <w:pPr>
        <w:pStyle w:val="texto10"/>
        <w:rPr>
          <w:rFonts w:ascii="Arial" w:hAnsi="Arial" w:cs="Arial"/>
          <w:szCs w:val="24"/>
        </w:rPr>
      </w:pP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1º </w:t>
      </w:r>
      <w:r w:rsidRPr="00630D78">
        <w:rPr>
          <w:rFonts w:cs="Arial"/>
          <w:szCs w:val="24"/>
        </w:rPr>
        <w:t>As operações de crédito realizadas por produtores rurais, incluídas as resultantes de consolidação de dívidas, poderão ser garantidas por Fundos Garantidores Solidários – FGS.</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Parágrafo único. O disposto no </w:t>
      </w:r>
      <w:r w:rsidRPr="00630D78">
        <w:rPr>
          <w:rFonts w:cs="Arial"/>
          <w:b/>
          <w:szCs w:val="24"/>
        </w:rPr>
        <w:t>caput</w:t>
      </w:r>
      <w:r w:rsidRPr="00630D78">
        <w:rPr>
          <w:rFonts w:cs="Arial"/>
          <w:szCs w:val="24"/>
        </w:rPr>
        <w:t xml:space="preserve"> também se aplica ao financiamento para implantação e operação de infraestruturas de conectividade rural.</w:t>
      </w:r>
    </w:p>
    <w:p w:rsidR="00630D78" w:rsidRPr="00630D78" w:rsidRDefault="00630D78" w:rsidP="00630D78">
      <w:pPr>
        <w:pStyle w:val="Recuodecorpodetexto2"/>
        <w:rPr>
          <w:rFonts w:cs="Arial"/>
          <w:szCs w:val="24"/>
        </w:rPr>
      </w:pPr>
      <w:bookmarkStart w:id="1" w:name="art2"/>
      <w:bookmarkEnd w:id="1"/>
      <w:r w:rsidRPr="00630D78">
        <w:rPr>
          <w:rFonts w:cs="Arial"/>
          <w:b/>
          <w:szCs w:val="24"/>
        </w:rPr>
        <w:t xml:space="preserve">Art. 2º </w:t>
      </w:r>
      <w:r w:rsidRPr="00630D78">
        <w:rPr>
          <w:rFonts w:cs="Arial"/>
          <w:szCs w:val="24"/>
        </w:rPr>
        <w:t>Cada FGS será composto por:</w:t>
      </w:r>
    </w:p>
    <w:p w:rsidR="00630D78" w:rsidRPr="00630D78" w:rsidRDefault="00630D78" w:rsidP="00630D78">
      <w:pPr>
        <w:pStyle w:val="Recuodecorpodetexto2"/>
        <w:spacing w:after="200"/>
        <w:ind w:firstLine="2302"/>
        <w:rPr>
          <w:rFonts w:cs="Arial"/>
          <w:szCs w:val="24"/>
        </w:rPr>
      </w:pPr>
      <w:r w:rsidRPr="00630D78">
        <w:rPr>
          <w:rFonts w:cs="Arial"/>
          <w:szCs w:val="24"/>
        </w:rPr>
        <w:t>I - no mínimo dois devedores;</w:t>
      </w:r>
    </w:p>
    <w:p w:rsidR="00630D78" w:rsidRPr="00630D78" w:rsidRDefault="00630D78" w:rsidP="00630D78">
      <w:pPr>
        <w:pStyle w:val="Recuodecorpodetexto2"/>
        <w:spacing w:after="200"/>
        <w:ind w:firstLine="2302"/>
        <w:rPr>
          <w:rFonts w:cs="Arial"/>
          <w:szCs w:val="24"/>
        </w:rPr>
      </w:pPr>
      <w:r w:rsidRPr="00630D78">
        <w:rPr>
          <w:rFonts w:cs="Arial"/>
          <w:szCs w:val="24"/>
        </w:rPr>
        <w:lastRenderedPageBreak/>
        <w:t>II – o credor; e</w:t>
      </w:r>
    </w:p>
    <w:p w:rsidR="00630D78" w:rsidRPr="00630D78" w:rsidRDefault="00630D78" w:rsidP="00630D78">
      <w:pPr>
        <w:pStyle w:val="Recuodecorpodetexto2"/>
        <w:spacing w:after="200"/>
        <w:ind w:firstLine="2302"/>
        <w:rPr>
          <w:rFonts w:cs="Arial"/>
          <w:szCs w:val="24"/>
        </w:rPr>
      </w:pPr>
      <w:r w:rsidRPr="00630D78">
        <w:rPr>
          <w:rFonts w:cs="Arial"/>
          <w:szCs w:val="24"/>
        </w:rPr>
        <w:t>III – o garantidor, se houver.</w:t>
      </w:r>
    </w:p>
    <w:p w:rsidR="00630D78" w:rsidRPr="00630D78" w:rsidRDefault="00630D78" w:rsidP="00630D78">
      <w:pPr>
        <w:pStyle w:val="Recuodecorpodetexto2"/>
        <w:spacing w:after="200"/>
        <w:ind w:firstLine="2302"/>
        <w:rPr>
          <w:rFonts w:cs="Arial"/>
          <w:szCs w:val="24"/>
        </w:rPr>
      </w:pPr>
      <w:r w:rsidRPr="00630D78">
        <w:rPr>
          <w:rFonts w:cs="Arial"/>
          <w:szCs w:val="24"/>
        </w:rPr>
        <w:t>Parágrafo Único. O Poder Executivo poderá limitar o número de devedores do FGS.</w:t>
      </w:r>
    </w:p>
    <w:p w:rsidR="00630D78" w:rsidRPr="00630D78" w:rsidRDefault="00630D78" w:rsidP="00630D78">
      <w:pPr>
        <w:pStyle w:val="Recuodecorpodetexto2"/>
        <w:spacing w:after="200"/>
        <w:ind w:firstLine="2302"/>
        <w:rPr>
          <w:rFonts w:cs="Arial"/>
          <w:szCs w:val="24"/>
        </w:rPr>
      </w:pPr>
      <w:bookmarkStart w:id="2" w:name="art3"/>
      <w:bookmarkEnd w:id="2"/>
      <w:r w:rsidRPr="00630D78">
        <w:rPr>
          <w:rFonts w:cs="Arial"/>
          <w:b/>
          <w:szCs w:val="24"/>
        </w:rPr>
        <w:t xml:space="preserve">Art. 3º </w:t>
      </w:r>
      <w:r w:rsidRPr="00630D78">
        <w:rPr>
          <w:rFonts w:cs="Arial"/>
          <w:szCs w:val="24"/>
        </w:rPr>
        <w:t>Os participantes integralizarão os recursos do FGS observada a seguinte estrutura de cotas e os seguintes percentuais mínimos, incidentes sobre os saldos devedores das operações financeiras garantidas pelo FGS:</w:t>
      </w:r>
    </w:p>
    <w:p w:rsidR="00630D78" w:rsidRPr="00630D78" w:rsidRDefault="00630D78" w:rsidP="00630D78">
      <w:pPr>
        <w:pStyle w:val="Recuodecorpodetexto2"/>
        <w:spacing w:after="200"/>
        <w:ind w:firstLine="2302"/>
        <w:rPr>
          <w:rFonts w:cs="Arial"/>
          <w:szCs w:val="24"/>
        </w:rPr>
      </w:pPr>
      <w:r w:rsidRPr="00630D78">
        <w:rPr>
          <w:rFonts w:cs="Arial"/>
          <w:szCs w:val="24"/>
        </w:rPr>
        <w:t>I - cota primária, de responsabilidade dos devedores, correspondente a quatro por cento;</w:t>
      </w:r>
    </w:p>
    <w:p w:rsidR="00630D78" w:rsidRPr="00630D78" w:rsidRDefault="00630D78" w:rsidP="00630D78">
      <w:pPr>
        <w:pStyle w:val="Recuodecorpodetexto2"/>
        <w:spacing w:after="200"/>
        <w:ind w:firstLine="2302"/>
        <w:rPr>
          <w:rFonts w:cs="Arial"/>
          <w:szCs w:val="24"/>
        </w:rPr>
      </w:pPr>
      <w:r w:rsidRPr="00630D78">
        <w:rPr>
          <w:rFonts w:cs="Arial"/>
          <w:szCs w:val="24"/>
        </w:rPr>
        <w:t>II - cota secundária, de responsabilidade do credor ou, na hipótese de consolidação, dos credores originais, correspondente a quatro por cento; e</w:t>
      </w:r>
    </w:p>
    <w:p w:rsidR="00630D78" w:rsidRPr="00630D78" w:rsidRDefault="00630D78" w:rsidP="00630D78">
      <w:pPr>
        <w:pStyle w:val="Recuodecorpodetexto2"/>
        <w:spacing w:after="200"/>
        <w:ind w:firstLine="2302"/>
        <w:rPr>
          <w:rFonts w:cs="Arial"/>
          <w:szCs w:val="24"/>
        </w:rPr>
      </w:pPr>
      <w:r w:rsidRPr="00630D78">
        <w:rPr>
          <w:rFonts w:cs="Arial"/>
          <w:szCs w:val="24"/>
        </w:rPr>
        <w:t>III - cota terciária, de responsabilidade do garantidor, se houver, correspondente a dois por cento.</w:t>
      </w:r>
    </w:p>
    <w:p w:rsidR="00630D78" w:rsidRPr="00630D78" w:rsidRDefault="00630D78" w:rsidP="00630D78">
      <w:pPr>
        <w:pStyle w:val="Recuodecorpodetexto2"/>
        <w:spacing w:after="200"/>
        <w:ind w:firstLine="2302"/>
        <w:rPr>
          <w:rFonts w:cs="Arial"/>
          <w:szCs w:val="24"/>
        </w:rPr>
      </w:pPr>
      <w:r w:rsidRPr="00630D78">
        <w:rPr>
          <w:rFonts w:cs="Arial"/>
          <w:szCs w:val="24"/>
        </w:rPr>
        <w:t>§ 1º A cota terciária poderá ser integralizada por meio da redução do saldo devedor do credor garantido pelo FGS.</w:t>
      </w:r>
    </w:p>
    <w:p w:rsidR="00630D78" w:rsidRPr="00630D78" w:rsidRDefault="00630D78" w:rsidP="00630D78">
      <w:pPr>
        <w:pStyle w:val="Recuodecorpodetexto2"/>
        <w:spacing w:after="200"/>
        <w:ind w:firstLine="2302"/>
        <w:rPr>
          <w:rFonts w:cs="Arial"/>
          <w:szCs w:val="24"/>
        </w:rPr>
      </w:pPr>
      <w:r w:rsidRPr="00630D78">
        <w:rPr>
          <w:rFonts w:cs="Arial"/>
          <w:szCs w:val="24"/>
        </w:rPr>
        <w:t>§ 2º Na hipótese de consolidação de dívidas:</w:t>
      </w:r>
    </w:p>
    <w:p w:rsidR="00630D78" w:rsidRPr="00630D78" w:rsidRDefault="00630D78" w:rsidP="00630D78">
      <w:pPr>
        <w:pStyle w:val="Recuodecorpodetexto2"/>
        <w:spacing w:after="200"/>
        <w:ind w:firstLine="2302"/>
        <w:rPr>
          <w:rFonts w:cs="Arial"/>
          <w:szCs w:val="24"/>
        </w:rPr>
      </w:pPr>
      <w:r w:rsidRPr="00630D78">
        <w:rPr>
          <w:rFonts w:cs="Arial"/>
          <w:szCs w:val="24"/>
        </w:rPr>
        <w:t>I - a instituição consolidadora poderá exigir a transferência das garantias oferecidas nas operações originais para a operação de consolidação; e</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II - os percentuais de que trata o </w:t>
      </w:r>
      <w:r w:rsidRPr="00630D78">
        <w:rPr>
          <w:rFonts w:cs="Arial"/>
          <w:b/>
          <w:szCs w:val="24"/>
        </w:rPr>
        <w:t>caput</w:t>
      </w:r>
      <w:r w:rsidRPr="00630D78">
        <w:rPr>
          <w:rFonts w:cs="Arial"/>
          <w:szCs w:val="24"/>
        </w:rPr>
        <w:t xml:space="preserve"> incidirão sobre os valores que vierem a ser consolidados, considerando o crédito de cada um dos credores originais.</w:t>
      </w:r>
    </w:p>
    <w:p w:rsidR="00630D78" w:rsidRPr="00630D78" w:rsidRDefault="00630D78" w:rsidP="00630D78">
      <w:pPr>
        <w:pStyle w:val="Recuodecorpodetexto2"/>
        <w:spacing w:after="200"/>
        <w:ind w:firstLine="2302"/>
        <w:rPr>
          <w:rFonts w:cs="Arial"/>
          <w:szCs w:val="24"/>
        </w:rPr>
      </w:pPr>
      <w:r w:rsidRPr="00630D78">
        <w:rPr>
          <w:rFonts w:cs="Arial"/>
          <w:szCs w:val="24"/>
        </w:rPr>
        <w:t>§ 3º Os percentuais estabelecidos para composição do FGS poderão ser majorados, desde que se mantenha a proporção entre as cotas de mesma categoria de participantes, permitida a alteração da proporcionalidade entre as cotas primária, secundária e terciária, se houver.</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4º Os recursos integralizados, enquanto não quitadas todas operações garantidas pelo FGS, não responderão por outras dívidas ou obrigações, presentes ou futuras, contraídas pelos participantes, independentemente da natureza dessa dívida ou obrigação. </w:t>
      </w:r>
    </w:p>
    <w:p w:rsidR="00630D78" w:rsidRPr="00630D78" w:rsidRDefault="00630D78" w:rsidP="00630D78">
      <w:pPr>
        <w:pStyle w:val="Recuodecorpodetexto2"/>
        <w:spacing w:after="200"/>
        <w:ind w:firstLine="2302"/>
        <w:rPr>
          <w:rFonts w:cs="Arial"/>
          <w:szCs w:val="24"/>
        </w:rPr>
      </w:pPr>
      <w:r w:rsidRPr="00630D78">
        <w:rPr>
          <w:rFonts w:cs="Arial"/>
          <w:szCs w:val="24"/>
        </w:rPr>
        <w:lastRenderedPageBreak/>
        <w:t xml:space="preserve">§ 5º A garantia prestada pelo FGS, nos termos do art. 1º, ficará limitada aos recursos existentes nos respectivos fundos constituídos.  </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6º O FGS não pagará rendimentos aos seus cotistas, salvo na hipótese prevista no parágrafo único do art. 5º. </w:t>
      </w:r>
    </w:p>
    <w:p w:rsidR="00630D78" w:rsidRPr="00630D78" w:rsidRDefault="00630D78" w:rsidP="00630D78">
      <w:pPr>
        <w:pStyle w:val="Recuodecorpodetexto2"/>
        <w:spacing w:after="200"/>
        <w:ind w:firstLine="2302"/>
        <w:rPr>
          <w:rFonts w:cs="Arial"/>
          <w:szCs w:val="24"/>
        </w:rPr>
      </w:pPr>
      <w:bookmarkStart w:id="3" w:name="art4"/>
      <w:bookmarkEnd w:id="3"/>
      <w:r w:rsidRPr="00630D78">
        <w:rPr>
          <w:rFonts w:cs="Arial"/>
          <w:b/>
          <w:szCs w:val="24"/>
        </w:rPr>
        <w:t xml:space="preserve">Art. 4º </w:t>
      </w:r>
      <w:r w:rsidRPr="00630D78">
        <w:rPr>
          <w:rFonts w:cs="Arial"/>
          <w:szCs w:val="24"/>
        </w:rPr>
        <w:t>O ressarcimento ao credor ou, na hipótese de consolidação, à instituição consolidadora, ocorrerá por meio da utilização dos recursos do FGS, após o vencimento e o não pagamento da parcela ou operação, observada a seguinte ordem:</w:t>
      </w:r>
    </w:p>
    <w:p w:rsidR="00630D78" w:rsidRPr="00630D78" w:rsidRDefault="00630D78" w:rsidP="00630D78">
      <w:pPr>
        <w:pStyle w:val="Recuodecorpodetexto2"/>
        <w:spacing w:after="200"/>
        <w:ind w:firstLine="2302"/>
        <w:rPr>
          <w:rFonts w:cs="Arial"/>
          <w:szCs w:val="24"/>
        </w:rPr>
      </w:pPr>
      <w:r w:rsidRPr="00630D78">
        <w:rPr>
          <w:rFonts w:cs="Arial"/>
          <w:szCs w:val="24"/>
        </w:rPr>
        <w:t>I - cota primária;</w:t>
      </w:r>
    </w:p>
    <w:p w:rsidR="00630D78" w:rsidRPr="00630D78" w:rsidRDefault="00630D78" w:rsidP="00630D78">
      <w:pPr>
        <w:pStyle w:val="Recuodecorpodetexto2"/>
        <w:spacing w:after="200"/>
        <w:ind w:firstLine="2302"/>
        <w:rPr>
          <w:rFonts w:cs="Arial"/>
          <w:szCs w:val="24"/>
        </w:rPr>
      </w:pPr>
      <w:r w:rsidRPr="00630D78">
        <w:rPr>
          <w:rFonts w:cs="Arial"/>
          <w:szCs w:val="24"/>
        </w:rPr>
        <w:t>II - cota secundária; e</w:t>
      </w:r>
    </w:p>
    <w:p w:rsidR="00630D78" w:rsidRPr="00630D78" w:rsidRDefault="00630D78" w:rsidP="00630D78">
      <w:pPr>
        <w:pStyle w:val="Recuodecorpodetexto2"/>
        <w:spacing w:after="200"/>
        <w:ind w:firstLine="2302"/>
        <w:rPr>
          <w:rFonts w:cs="Arial"/>
          <w:szCs w:val="24"/>
        </w:rPr>
      </w:pPr>
      <w:r w:rsidRPr="00630D78">
        <w:rPr>
          <w:rFonts w:cs="Arial"/>
          <w:szCs w:val="24"/>
        </w:rPr>
        <w:t>III - cota terciária.</w:t>
      </w:r>
    </w:p>
    <w:p w:rsidR="00630D78" w:rsidRPr="00630D78" w:rsidRDefault="00630D78" w:rsidP="00630D78">
      <w:pPr>
        <w:pStyle w:val="Recuodecorpodetexto2"/>
        <w:spacing w:after="200"/>
        <w:ind w:firstLine="2302"/>
        <w:rPr>
          <w:rFonts w:cs="Arial"/>
          <w:szCs w:val="24"/>
        </w:rPr>
      </w:pPr>
      <w:bookmarkStart w:id="4" w:name="art5"/>
      <w:bookmarkEnd w:id="4"/>
      <w:r w:rsidRPr="00630D78">
        <w:rPr>
          <w:rFonts w:cs="Arial"/>
          <w:b/>
          <w:szCs w:val="24"/>
        </w:rPr>
        <w:t xml:space="preserve">Art. 5º </w:t>
      </w:r>
      <w:r w:rsidRPr="00630D78">
        <w:rPr>
          <w:rFonts w:cs="Arial"/>
          <w:szCs w:val="24"/>
        </w:rPr>
        <w:t>O FGS será extinto após a quitação de todas as dívidas por ele garantidas ou o exaurimento de seus recursos.</w:t>
      </w:r>
    </w:p>
    <w:p w:rsidR="00630D78" w:rsidRPr="00630D78" w:rsidRDefault="00630D78" w:rsidP="00630D78">
      <w:pPr>
        <w:pStyle w:val="Recuodecorpodetexto2"/>
        <w:spacing w:after="200"/>
        <w:ind w:firstLine="2302"/>
        <w:rPr>
          <w:rFonts w:cs="Arial"/>
          <w:szCs w:val="24"/>
        </w:rPr>
      </w:pPr>
      <w:r w:rsidRPr="00630D78">
        <w:rPr>
          <w:rFonts w:cs="Arial"/>
          <w:szCs w:val="24"/>
        </w:rPr>
        <w:t>Parágrafo único. Na hipótese de extinção do FGS pela quitação das dívidas, os recursos remanescentes, conforme disposto no art. 6º, serão devolvidos aos cotistas de modo a repor os valores inicialmente aportados, considerada a proporção da integralização efetuada por cada um deles, nesta ordem:</w:t>
      </w:r>
    </w:p>
    <w:p w:rsidR="00630D78" w:rsidRPr="00630D78" w:rsidRDefault="00630D78" w:rsidP="00630D78">
      <w:pPr>
        <w:pStyle w:val="Recuodecorpodetexto2"/>
        <w:spacing w:after="200"/>
        <w:ind w:firstLine="2302"/>
        <w:rPr>
          <w:rFonts w:cs="Arial"/>
          <w:szCs w:val="24"/>
        </w:rPr>
      </w:pPr>
      <w:r w:rsidRPr="00630D78">
        <w:rPr>
          <w:rFonts w:cs="Arial"/>
          <w:szCs w:val="24"/>
        </w:rPr>
        <w:t>I - cota terciária;</w:t>
      </w:r>
    </w:p>
    <w:p w:rsidR="00630D78" w:rsidRPr="00630D78" w:rsidRDefault="00630D78" w:rsidP="00630D78">
      <w:pPr>
        <w:pStyle w:val="Recuodecorpodetexto2"/>
        <w:spacing w:after="200"/>
        <w:ind w:firstLine="2302"/>
        <w:rPr>
          <w:rFonts w:cs="Arial"/>
          <w:szCs w:val="24"/>
        </w:rPr>
      </w:pPr>
      <w:r w:rsidRPr="00630D78">
        <w:rPr>
          <w:rFonts w:cs="Arial"/>
          <w:szCs w:val="24"/>
        </w:rPr>
        <w:t>II - cota secundária; e</w:t>
      </w:r>
    </w:p>
    <w:p w:rsidR="00630D78" w:rsidRPr="00630D78" w:rsidRDefault="00630D78" w:rsidP="00630D78">
      <w:pPr>
        <w:pStyle w:val="Recuodecorpodetexto2"/>
        <w:spacing w:after="200"/>
        <w:ind w:firstLine="2302"/>
        <w:rPr>
          <w:rFonts w:cs="Arial"/>
          <w:szCs w:val="24"/>
        </w:rPr>
      </w:pPr>
      <w:r w:rsidRPr="00630D78">
        <w:rPr>
          <w:rFonts w:cs="Arial"/>
          <w:szCs w:val="24"/>
        </w:rPr>
        <w:t>III - cota primária.</w:t>
      </w:r>
    </w:p>
    <w:p w:rsidR="00630D78" w:rsidRPr="00630D78" w:rsidRDefault="00630D78" w:rsidP="00630D78">
      <w:pPr>
        <w:pStyle w:val="Recuodecorpodetexto2"/>
        <w:spacing w:after="200"/>
        <w:ind w:firstLine="2302"/>
        <w:rPr>
          <w:rFonts w:cs="Arial"/>
          <w:szCs w:val="24"/>
        </w:rPr>
      </w:pPr>
      <w:r w:rsidRPr="00630D78">
        <w:rPr>
          <w:rFonts w:cs="Arial"/>
          <w:b/>
          <w:szCs w:val="24"/>
        </w:rPr>
        <w:t>Art. 6º</w:t>
      </w:r>
      <w:r w:rsidRPr="00630D78">
        <w:rPr>
          <w:rFonts w:cs="Arial"/>
          <w:szCs w:val="24"/>
        </w:rPr>
        <w:t xml:space="preserve"> O Estatuto do Fundo disporá a forma de constituição do FGS, sua administração, a remuneração do administrador, a utilização dos recursos e sua forma de atualização, a representação ativa e passiva do fundo, dentre outras disposições necessárias ao seu funcionamento.  </w:t>
      </w:r>
    </w:p>
    <w:p w:rsidR="00630D78" w:rsidRPr="00630D78" w:rsidRDefault="00630D78" w:rsidP="00630D78">
      <w:pPr>
        <w:pStyle w:val="Recuodecorpodetexto2"/>
        <w:spacing w:after="200"/>
        <w:ind w:firstLine="2302"/>
        <w:rPr>
          <w:rFonts w:cs="Arial"/>
          <w:szCs w:val="24"/>
        </w:rPr>
      </w:pPr>
    </w:p>
    <w:p w:rsidR="00630D78" w:rsidRPr="00630D78" w:rsidRDefault="00630D78" w:rsidP="00630D78">
      <w:pPr>
        <w:pStyle w:val="Recuodecorpodetexto2"/>
        <w:spacing w:after="200"/>
        <w:ind w:firstLine="2302"/>
        <w:rPr>
          <w:rFonts w:cs="Arial"/>
          <w:szCs w:val="24"/>
        </w:rPr>
      </w:pP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II</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DO PATRIMÔNIO RURAL EM AFETAÇÃO</w:t>
      </w:r>
    </w:p>
    <w:p w:rsidR="00630D78" w:rsidRPr="00630D78" w:rsidRDefault="00630D78" w:rsidP="00630D78">
      <w:pPr>
        <w:pStyle w:val="Recuodecorpodetexto2"/>
        <w:keepNext/>
        <w:spacing w:after="200"/>
        <w:ind w:firstLine="0"/>
        <w:jc w:val="center"/>
        <w:rPr>
          <w:rFonts w:cs="Arial"/>
          <w:b/>
          <w:szCs w:val="24"/>
        </w:rPr>
      </w:pPr>
    </w:p>
    <w:p w:rsidR="00630D78" w:rsidRPr="00630D78" w:rsidRDefault="00630D78" w:rsidP="00630D78">
      <w:pPr>
        <w:pStyle w:val="Recuodecorpodetexto2"/>
        <w:keepNext/>
        <w:spacing w:after="200"/>
        <w:ind w:firstLine="2302"/>
        <w:rPr>
          <w:rFonts w:cs="Arial"/>
          <w:szCs w:val="24"/>
        </w:rPr>
      </w:pPr>
      <w:bookmarkStart w:id="5" w:name="art6"/>
      <w:bookmarkEnd w:id="5"/>
      <w:r w:rsidRPr="00630D78">
        <w:rPr>
          <w:rFonts w:cs="Arial"/>
          <w:b/>
          <w:szCs w:val="24"/>
        </w:rPr>
        <w:t xml:space="preserve">Art. 7º </w:t>
      </w:r>
      <w:r w:rsidRPr="00630D78">
        <w:rPr>
          <w:rFonts w:cs="Arial"/>
          <w:szCs w:val="24"/>
        </w:rPr>
        <w:t>O proprietário de imóvel rural, pessoa natural ou jurídica, poderá submeter seu imóvel rural ou fração dele ao regime de afetação.</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Parágrafo único. No regime de afetação de que trata o </w:t>
      </w:r>
      <w:r w:rsidRPr="00630D78">
        <w:rPr>
          <w:rFonts w:cs="Arial"/>
          <w:b/>
          <w:szCs w:val="24"/>
        </w:rPr>
        <w:t>caput</w:t>
      </w:r>
      <w:r w:rsidRPr="00630D78">
        <w:rPr>
          <w:rFonts w:cs="Arial"/>
          <w:szCs w:val="24"/>
        </w:rPr>
        <w:t>, o terreno, as acessões e as benfeitorias nele fixadas, exceto as lavouras, os bens móveis e os semoventes, constituirão patrimônio rural em afetação, destinado a prestar garantias por meio da emissão de Cédula de Produto Rural, de que trata a Lei nº 8.929, de 22 de agosto de 1994 ou em operações financeiras contratadas pelo proprietário por meio de Cédula Imobiliária Rural – CIR.</w:t>
      </w:r>
    </w:p>
    <w:p w:rsidR="00630D78" w:rsidRPr="00630D78" w:rsidRDefault="00630D78" w:rsidP="00630D78">
      <w:pPr>
        <w:pStyle w:val="Recuodecorpodetexto2"/>
        <w:spacing w:after="200"/>
        <w:ind w:firstLine="2302"/>
        <w:rPr>
          <w:rFonts w:cs="Arial"/>
          <w:szCs w:val="24"/>
        </w:rPr>
      </w:pPr>
      <w:bookmarkStart w:id="6" w:name="art7"/>
      <w:bookmarkEnd w:id="6"/>
      <w:r w:rsidRPr="00630D78">
        <w:rPr>
          <w:rFonts w:cs="Arial"/>
          <w:b/>
          <w:szCs w:val="24"/>
        </w:rPr>
        <w:t xml:space="preserve">Art. 8º </w:t>
      </w:r>
      <w:r w:rsidRPr="00630D78">
        <w:rPr>
          <w:rFonts w:cs="Arial"/>
          <w:szCs w:val="24"/>
        </w:rPr>
        <w:t>Fica vedada a constituição de patrimônio rural em afetação incidente sobre:</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I - o imóvel já gravado por hipoteca, por alienação fiduciária de coisa imóvel ou outro ônus real, ou, ainda, que tenha registrado ou averbado em sua matrícula qualquer uma das informações de que trata o </w:t>
      </w:r>
      <w:hyperlink r:id="rId7" w:anchor="art54" w:history="1">
        <w:r w:rsidRPr="00630D78">
          <w:rPr>
            <w:rFonts w:cs="Arial"/>
            <w:szCs w:val="24"/>
          </w:rPr>
          <w:t>art. 54 da Lei nº 13.097, de 19 de janeiro de 2015</w:t>
        </w:r>
      </w:hyperlink>
      <w:r w:rsidRPr="00630D78">
        <w:rPr>
          <w:rFonts w:cs="Arial"/>
          <w:szCs w:val="24"/>
        </w:rPr>
        <w:t>;</w:t>
      </w:r>
    </w:p>
    <w:p w:rsidR="00630D78" w:rsidRPr="00630D78" w:rsidRDefault="00630D78" w:rsidP="00630D78">
      <w:pPr>
        <w:pStyle w:val="Recuodecorpodetexto2"/>
        <w:spacing w:after="200"/>
        <w:ind w:firstLine="2302"/>
        <w:rPr>
          <w:rFonts w:cs="Arial"/>
          <w:szCs w:val="24"/>
        </w:rPr>
      </w:pPr>
      <w:r w:rsidRPr="00630D78">
        <w:rPr>
          <w:rFonts w:cs="Arial"/>
          <w:szCs w:val="24"/>
        </w:rPr>
        <w:t>II - a pequena propriedade rural de que trata a alínea “a” do inciso II do art. 4º da Lei nº 8.629, de 25 de fevereiro de 1993;</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III - a área de tamanho inferior ao módulo rural ou à fração mínima de parcelamento, o que for menor, nos termos do disposto no </w:t>
      </w:r>
      <w:hyperlink r:id="rId8" w:anchor="art8" w:history="1">
        <w:r w:rsidRPr="00630D78">
          <w:rPr>
            <w:rFonts w:cs="Arial"/>
            <w:szCs w:val="24"/>
          </w:rPr>
          <w:t>art. 8º da Lei nº 5.868, de 12 de dezembro de 1972</w:t>
        </w:r>
      </w:hyperlink>
      <w:r w:rsidRPr="00630D78">
        <w:rPr>
          <w:rFonts w:cs="Arial"/>
          <w:szCs w:val="24"/>
        </w:rPr>
        <w:t>; ou</w:t>
      </w:r>
    </w:p>
    <w:p w:rsidR="00630D78" w:rsidRPr="00630D78" w:rsidRDefault="00630D78" w:rsidP="00630D78">
      <w:pPr>
        <w:pStyle w:val="Recuodecorpodetexto2"/>
        <w:spacing w:after="200"/>
        <w:ind w:firstLine="2302"/>
        <w:rPr>
          <w:rFonts w:cs="Arial"/>
          <w:szCs w:val="24"/>
        </w:rPr>
      </w:pPr>
      <w:r w:rsidRPr="00630D78">
        <w:rPr>
          <w:rFonts w:cs="Arial"/>
          <w:szCs w:val="24"/>
        </w:rPr>
        <w:t>IV - o bem de família de que trata a Lei nº 10.406, de 10 de janeiro de 2002, exceto na situação prevista no § 2º do art. 4º da Lei nº 8.009, de 29 de março de 1990.</w:t>
      </w:r>
    </w:p>
    <w:p w:rsidR="00630D78" w:rsidRPr="00630D78" w:rsidRDefault="00630D78" w:rsidP="00630D78">
      <w:pPr>
        <w:pStyle w:val="Recuodecorpodetexto2"/>
        <w:spacing w:after="200"/>
        <w:ind w:firstLine="2302"/>
        <w:rPr>
          <w:rFonts w:cs="Arial"/>
          <w:szCs w:val="24"/>
        </w:rPr>
      </w:pPr>
      <w:bookmarkStart w:id="7" w:name="art8"/>
      <w:bookmarkEnd w:id="7"/>
      <w:r w:rsidRPr="00630D78">
        <w:rPr>
          <w:rFonts w:cs="Arial"/>
          <w:b/>
          <w:szCs w:val="24"/>
        </w:rPr>
        <w:t xml:space="preserve">Art. 9º </w:t>
      </w:r>
      <w:r w:rsidRPr="00630D78">
        <w:rPr>
          <w:rFonts w:cs="Arial"/>
          <w:szCs w:val="24"/>
        </w:rPr>
        <w:t>O patrimônio rural em afetação é constituído por solicitação do proprietário por meio de registro no cartório de registro de imóveis.</w:t>
      </w:r>
    </w:p>
    <w:p w:rsidR="00630D78" w:rsidRPr="00630D78" w:rsidRDefault="00630D78" w:rsidP="00630D78">
      <w:pPr>
        <w:pStyle w:val="Recuodecorpodetexto2"/>
        <w:spacing w:after="200"/>
        <w:ind w:firstLine="2302"/>
        <w:rPr>
          <w:rFonts w:cs="Arial"/>
          <w:szCs w:val="24"/>
        </w:rPr>
      </w:pPr>
      <w:bookmarkStart w:id="8" w:name="art9"/>
      <w:bookmarkEnd w:id="8"/>
      <w:r w:rsidRPr="00630D78">
        <w:rPr>
          <w:rFonts w:cs="Arial"/>
          <w:b/>
          <w:szCs w:val="24"/>
        </w:rPr>
        <w:t xml:space="preserve">Art. 10. </w:t>
      </w:r>
      <w:r w:rsidRPr="00630D78">
        <w:rPr>
          <w:rFonts w:cs="Arial"/>
          <w:szCs w:val="24"/>
        </w:rPr>
        <w:t>Os bens e os direitos integrantes do patrimônio rural em afetação não se comunicam com os demais bens, direitos e obrigações do patrimônio geral do proprietário ou de outros patrimônios rurais em afetação por ele constituídos:</w:t>
      </w:r>
    </w:p>
    <w:p w:rsidR="00630D78" w:rsidRPr="00630D78" w:rsidRDefault="00630D78" w:rsidP="00630D78">
      <w:pPr>
        <w:pStyle w:val="Recuodecorpodetexto2"/>
        <w:spacing w:after="200"/>
        <w:ind w:firstLine="2302"/>
        <w:rPr>
          <w:rFonts w:cs="Arial"/>
          <w:szCs w:val="24"/>
        </w:rPr>
      </w:pPr>
      <w:r w:rsidRPr="00630D78">
        <w:rPr>
          <w:rFonts w:cs="Arial"/>
          <w:szCs w:val="24"/>
        </w:rPr>
        <w:t>I – desde que vinculado a Cédula Imobiliária Rural - CIR ou a Cédula de Produto Rural - CPR;</w:t>
      </w:r>
    </w:p>
    <w:p w:rsidR="00630D78" w:rsidRPr="00630D78" w:rsidRDefault="00630D78" w:rsidP="00630D78">
      <w:pPr>
        <w:pStyle w:val="Recuodecorpodetexto2"/>
        <w:spacing w:after="200"/>
        <w:ind w:firstLine="2302"/>
        <w:rPr>
          <w:rFonts w:cs="Arial"/>
          <w:szCs w:val="24"/>
        </w:rPr>
      </w:pPr>
      <w:r w:rsidRPr="00630D78">
        <w:rPr>
          <w:rFonts w:cs="Arial"/>
          <w:szCs w:val="24"/>
        </w:rPr>
        <w:t>II – na medida das garantias expressas na CIR ou na CPR a ele vinculadas.</w:t>
      </w:r>
    </w:p>
    <w:p w:rsidR="00630D78" w:rsidRPr="00630D78" w:rsidRDefault="00630D78" w:rsidP="00630D78">
      <w:pPr>
        <w:pStyle w:val="Recuodecorpodetexto2"/>
        <w:spacing w:after="200"/>
        <w:ind w:firstLine="2302"/>
        <w:rPr>
          <w:rFonts w:cs="Arial"/>
          <w:szCs w:val="24"/>
        </w:rPr>
      </w:pPr>
      <w:r w:rsidRPr="00630D78">
        <w:rPr>
          <w:rFonts w:cs="Arial"/>
          <w:szCs w:val="24"/>
        </w:rPr>
        <w:t>§ 1º Nenhuma garantia real, exceto por emissão de CIR ou de CPR, poderá ser constituída sobre o patrimônio rural em afetação.</w:t>
      </w:r>
    </w:p>
    <w:p w:rsidR="00630D78" w:rsidRPr="00630D78" w:rsidRDefault="00630D78" w:rsidP="00630D78">
      <w:pPr>
        <w:pStyle w:val="Recuodecorpodetexto2"/>
        <w:spacing w:after="200"/>
        <w:ind w:firstLine="2302"/>
        <w:rPr>
          <w:rFonts w:cs="Arial"/>
          <w:szCs w:val="24"/>
        </w:rPr>
      </w:pPr>
      <w:r w:rsidRPr="00630D78">
        <w:rPr>
          <w:rFonts w:cs="Arial"/>
          <w:szCs w:val="24"/>
        </w:rPr>
        <w:t>§ 2º O imóvel rural, enquanto estiver sujeito ao regime de afetação de que trata esta Lei, ainda que de modo parcial, não poderá ser objeto de compra e venda, doação, parcelamento ou qualquer outro ato translativo de propriedade por iniciativa do proprietário.</w:t>
      </w:r>
    </w:p>
    <w:p w:rsidR="00630D78" w:rsidRPr="00630D78" w:rsidRDefault="00630D78" w:rsidP="00630D78">
      <w:pPr>
        <w:pStyle w:val="Recuodecorpodetexto2"/>
        <w:spacing w:after="200"/>
        <w:ind w:firstLine="2302"/>
        <w:rPr>
          <w:rFonts w:cs="Arial"/>
          <w:szCs w:val="24"/>
        </w:rPr>
      </w:pPr>
      <w:r w:rsidRPr="00630D78">
        <w:rPr>
          <w:rFonts w:cs="Arial"/>
          <w:szCs w:val="24"/>
        </w:rPr>
        <w:t>§ 3º O patrimônio rural em afetação ou parte dele, na medida da garantia vinculada a CIR ou a CPR:</w:t>
      </w:r>
    </w:p>
    <w:p w:rsidR="00630D78" w:rsidRPr="00630D78" w:rsidRDefault="00630D78" w:rsidP="00630D78">
      <w:pPr>
        <w:pStyle w:val="Recuodecorpodetexto2"/>
        <w:spacing w:after="200"/>
        <w:ind w:firstLine="2302"/>
        <w:rPr>
          <w:rFonts w:cs="Arial"/>
          <w:szCs w:val="24"/>
        </w:rPr>
      </w:pPr>
      <w:r w:rsidRPr="00630D78">
        <w:rPr>
          <w:rFonts w:cs="Arial"/>
          <w:szCs w:val="24"/>
        </w:rPr>
        <w:t>I - não poderá ser utilizado para realizar ou garantir o cumprimento de qualquer outra obrigação assumida pelo proprietário estranha àquela a qual esteja vinculada; e</w:t>
      </w:r>
    </w:p>
    <w:p w:rsidR="00630D78" w:rsidRPr="00630D78" w:rsidRDefault="00630D78" w:rsidP="00630D78">
      <w:pPr>
        <w:pStyle w:val="Recuodecorpodetexto2"/>
        <w:spacing w:after="200"/>
        <w:ind w:firstLine="2302"/>
        <w:rPr>
          <w:rFonts w:cs="Arial"/>
          <w:szCs w:val="24"/>
        </w:rPr>
      </w:pPr>
      <w:r w:rsidRPr="00630D78">
        <w:rPr>
          <w:rFonts w:cs="Arial"/>
          <w:szCs w:val="24"/>
        </w:rPr>
        <w:t>II - é impenhorável e não poderá ser objeto de constrição judicial.</w:t>
      </w:r>
    </w:p>
    <w:p w:rsidR="00630D78" w:rsidRPr="00630D78" w:rsidRDefault="00630D78" w:rsidP="00630D78">
      <w:pPr>
        <w:pStyle w:val="Recuodecorpodetexto2"/>
        <w:spacing w:after="200"/>
        <w:ind w:firstLine="2302"/>
        <w:rPr>
          <w:rFonts w:cs="Arial"/>
          <w:szCs w:val="24"/>
        </w:rPr>
      </w:pPr>
      <w:r w:rsidRPr="00630D78">
        <w:rPr>
          <w:rFonts w:cs="Arial"/>
          <w:szCs w:val="24"/>
        </w:rPr>
        <w:t>§ 4º O patrimônio rural em afetação ou a fração destes vinculados a CIR ou a CPR, incluídos o terreno, as acessões, e as benfeitorias fixadas no terreno, exceto as lavouras, os bens móveis e os semoventes:</w:t>
      </w:r>
    </w:p>
    <w:p w:rsidR="00630D78" w:rsidRPr="00630D78" w:rsidRDefault="00630D78" w:rsidP="00630D78">
      <w:pPr>
        <w:pStyle w:val="Recuodecorpodetexto2"/>
        <w:spacing w:after="200"/>
        <w:ind w:firstLine="2302"/>
        <w:rPr>
          <w:rFonts w:cs="Arial"/>
          <w:szCs w:val="24"/>
        </w:rPr>
      </w:pPr>
      <w:r w:rsidRPr="00630D78">
        <w:rPr>
          <w:rFonts w:cs="Arial"/>
          <w:szCs w:val="24"/>
        </w:rPr>
        <w:t>I - não são atingidos pelos efeitos da decretação de falência, insolvência civil ou recuperação judicial do proprietário de imóvel rural; e</w:t>
      </w:r>
    </w:p>
    <w:p w:rsidR="00630D78" w:rsidRPr="00630D78" w:rsidRDefault="00630D78" w:rsidP="00630D78">
      <w:pPr>
        <w:pStyle w:val="Recuodecorpodetexto2"/>
        <w:spacing w:after="200"/>
        <w:ind w:firstLine="2302"/>
        <w:rPr>
          <w:rFonts w:cs="Arial"/>
          <w:szCs w:val="24"/>
        </w:rPr>
      </w:pPr>
      <w:r w:rsidRPr="00630D78">
        <w:rPr>
          <w:rFonts w:cs="Arial"/>
          <w:szCs w:val="24"/>
        </w:rPr>
        <w:t>II - não integram a massa concursal.</w:t>
      </w:r>
    </w:p>
    <w:p w:rsidR="00630D78" w:rsidRPr="00630D78" w:rsidRDefault="00630D78" w:rsidP="00630D78">
      <w:pPr>
        <w:pStyle w:val="Recuodecorpodetexto2"/>
        <w:spacing w:after="200"/>
        <w:ind w:firstLine="2302"/>
        <w:rPr>
          <w:rFonts w:cs="Arial"/>
          <w:szCs w:val="24"/>
        </w:rPr>
      </w:pPr>
      <w:r w:rsidRPr="00630D78">
        <w:rPr>
          <w:rFonts w:cs="Arial"/>
          <w:szCs w:val="24"/>
        </w:rPr>
        <w:t>§ 5º O disposto neste artigo não se aplica às obrigações trabalhistas, previdenciárias e fiscais do proprietário rural.</w:t>
      </w:r>
    </w:p>
    <w:p w:rsidR="00630D78" w:rsidRPr="00630D78" w:rsidRDefault="00630D78" w:rsidP="00630D78">
      <w:pPr>
        <w:pStyle w:val="Recuodecorpodetexto2"/>
        <w:spacing w:after="200"/>
        <w:ind w:firstLine="2302"/>
        <w:rPr>
          <w:rFonts w:cs="Arial"/>
          <w:szCs w:val="24"/>
        </w:rPr>
      </w:pPr>
      <w:bookmarkStart w:id="9" w:name="art10"/>
      <w:bookmarkEnd w:id="9"/>
      <w:r w:rsidRPr="00630D78">
        <w:rPr>
          <w:rFonts w:cs="Arial"/>
          <w:b/>
          <w:szCs w:val="24"/>
        </w:rPr>
        <w:t xml:space="preserve">Art. 11. </w:t>
      </w:r>
      <w:r w:rsidRPr="00630D78">
        <w:rPr>
          <w:rFonts w:cs="Arial"/>
          <w:szCs w:val="24"/>
        </w:rPr>
        <w:t>O oficial de registro de imóveis protocolará e autuará a solicitação de registro do patrimônio rural em afetação e os documentos vinculados, na forma estabelecida nesta Lei.</w:t>
      </w:r>
    </w:p>
    <w:p w:rsidR="00630D78" w:rsidRPr="00630D78" w:rsidRDefault="00630D78" w:rsidP="00630D78">
      <w:pPr>
        <w:pStyle w:val="Recuodecorpodetexto2"/>
        <w:spacing w:after="200"/>
        <w:ind w:firstLine="2302"/>
        <w:rPr>
          <w:rFonts w:cs="Arial"/>
          <w:szCs w:val="24"/>
        </w:rPr>
      </w:pPr>
      <w:bookmarkStart w:id="10" w:name="art11"/>
      <w:bookmarkEnd w:id="10"/>
      <w:r w:rsidRPr="00630D78">
        <w:rPr>
          <w:rFonts w:cs="Arial"/>
          <w:b/>
          <w:szCs w:val="24"/>
        </w:rPr>
        <w:t xml:space="preserve">Art. 12. </w:t>
      </w:r>
      <w:r w:rsidRPr="00630D78">
        <w:rPr>
          <w:rFonts w:cs="Arial"/>
          <w:szCs w:val="24"/>
        </w:rPr>
        <w:t>A solicitação de que trata o art. 11 será instruída com:</w:t>
      </w:r>
    </w:p>
    <w:p w:rsidR="00630D78" w:rsidRPr="00630D78" w:rsidRDefault="00630D78" w:rsidP="00630D78">
      <w:pPr>
        <w:pStyle w:val="Recuodecorpodetexto2"/>
        <w:spacing w:after="200"/>
        <w:ind w:firstLine="2302"/>
        <w:rPr>
          <w:rFonts w:cs="Arial"/>
          <w:szCs w:val="24"/>
        </w:rPr>
      </w:pPr>
      <w:r w:rsidRPr="00630D78">
        <w:rPr>
          <w:rFonts w:cs="Arial"/>
          <w:szCs w:val="24"/>
        </w:rPr>
        <w:t>I - os documentos comprobatórios:</w:t>
      </w:r>
    </w:p>
    <w:p w:rsidR="00630D78" w:rsidRPr="00630D78" w:rsidRDefault="00630D78" w:rsidP="00630D78">
      <w:pPr>
        <w:pStyle w:val="Recuodecorpodetexto2"/>
        <w:spacing w:after="200"/>
        <w:ind w:firstLine="2302"/>
        <w:rPr>
          <w:rFonts w:cs="Arial"/>
          <w:szCs w:val="24"/>
        </w:rPr>
      </w:pPr>
      <w:r w:rsidRPr="00630D78">
        <w:rPr>
          <w:rFonts w:cs="Arial"/>
          <w:szCs w:val="24"/>
        </w:rPr>
        <w:t>a) da inscrição do imóvel no Cadastro Nacional de Imóveis Rurais, do domínio do requerente e da inexistência de ônus de qualquer espécie sobre o patrimônio do requerente e o imóvel rural;</w:t>
      </w:r>
    </w:p>
    <w:p w:rsidR="00630D78" w:rsidRPr="00630D78" w:rsidRDefault="00630D78" w:rsidP="00630D78">
      <w:pPr>
        <w:pStyle w:val="Recuodecorpodetexto2"/>
        <w:spacing w:after="200"/>
        <w:ind w:firstLine="2302"/>
        <w:rPr>
          <w:rFonts w:cs="Arial"/>
          <w:szCs w:val="24"/>
        </w:rPr>
      </w:pPr>
      <w:r w:rsidRPr="00630D78">
        <w:rPr>
          <w:rFonts w:cs="Arial"/>
          <w:szCs w:val="24"/>
        </w:rPr>
        <w:t>b) da inscrição do imóvel no Cadastro Ambiental Rural, nos termos da Lei nº 12.651, de 25 de maio de 2012;</w:t>
      </w:r>
    </w:p>
    <w:p w:rsidR="00630D78" w:rsidRPr="00630D78" w:rsidRDefault="00630D78" w:rsidP="00630D78">
      <w:pPr>
        <w:pStyle w:val="Recuodecorpodetexto2"/>
        <w:spacing w:after="200"/>
        <w:ind w:firstLine="2302"/>
        <w:rPr>
          <w:rFonts w:cs="Arial"/>
          <w:szCs w:val="24"/>
        </w:rPr>
      </w:pPr>
      <w:r w:rsidRPr="00630D78">
        <w:rPr>
          <w:rFonts w:cs="Arial"/>
          <w:szCs w:val="24"/>
        </w:rPr>
        <w:t>c) da regularidade fiscal, trabalhista e previdenciária do requerente; e</w:t>
      </w:r>
    </w:p>
    <w:p w:rsidR="00630D78" w:rsidRPr="00630D78" w:rsidRDefault="00630D78" w:rsidP="00630D78">
      <w:pPr>
        <w:pStyle w:val="Recuodecorpodetexto2"/>
        <w:spacing w:after="200"/>
        <w:ind w:firstLine="2302"/>
        <w:rPr>
          <w:rFonts w:cs="Arial"/>
          <w:szCs w:val="24"/>
        </w:rPr>
      </w:pPr>
      <w:r w:rsidRPr="00630D78">
        <w:rPr>
          <w:rFonts w:cs="Arial"/>
          <w:szCs w:val="24"/>
        </w:rPr>
        <w:t>d) da certificação junto ao Sistema de Gestão Fundiária –Sigef do Instituto Nacional de Colonização e Reforma Agrária – Incra do georreferenciamento do imóvel do qual a totalidade ou fração está sendo constituída como patrimônio rural em afetação;</w:t>
      </w:r>
    </w:p>
    <w:p w:rsidR="00630D78" w:rsidRPr="00630D78" w:rsidRDefault="00630D78" w:rsidP="00630D78">
      <w:pPr>
        <w:pStyle w:val="Recuodecorpodetexto2"/>
        <w:spacing w:after="200"/>
        <w:ind w:firstLine="2302"/>
        <w:rPr>
          <w:rFonts w:cs="Arial"/>
          <w:szCs w:val="24"/>
        </w:rPr>
      </w:pPr>
      <w:r w:rsidRPr="00630D78">
        <w:rPr>
          <w:rFonts w:cs="Arial"/>
          <w:szCs w:val="24"/>
        </w:rPr>
        <w:t>II - a prova de atos que modifiquem ou limitem a sua propriedade;</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III - o memorial em que constem os nomes dos ocupantes e confrontantes com a indicação das respectivas residências; </w:t>
      </w:r>
    </w:p>
    <w:p w:rsidR="00630D78" w:rsidRPr="00630D78" w:rsidRDefault="00630D78" w:rsidP="00630D78">
      <w:pPr>
        <w:pStyle w:val="Recuodecorpodetexto2"/>
        <w:spacing w:after="200"/>
        <w:ind w:firstLine="2302"/>
        <w:rPr>
          <w:rFonts w:cs="Arial"/>
          <w:szCs w:val="24"/>
        </w:rPr>
      </w:pPr>
      <w:r w:rsidRPr="00630D78">
        <w:rPr>
          <w:rFonts w:cs="Arial"/>
          <w:szCs w:val="24"/>
        </w:rPr>
        <w:t>IV - a planta do imóvel, obtida a partir de memorial descritivo assinado por profissional habilitado e com a Anotação de Responsabilidade Técnica, que deverá conter as coordenadas dos vértices definidores dos limites dos imóveis rurais, georreferenciadas ao Sistema Geodésico Brasileiro e com precisão posicional adotada pelo Incra para a certificação do imóvel junto ao Sigef/Incra; e</w:t>
      </w:r>
    </w:p>
    <w:p w:rsidR="00630D78" w:rsidRPr="00630D78" w:rsidRDefault="00630D78" w:rsidP="00630D78">
      <w:pPr>
        <w:pStyle w:val="Recuodecorpodetexto2"/>
        <w:spacing w:after="200"/>
        <w:ind w:firstLine="2302"/>
        <w:rPr>
          <w:rFonts w:cs="Arial"/>
          <w:szCs w:val="24"/>
        </w:rPr>
      </w:pPr>
      <w:r w:rsidRPr="00630D78">
        <w:rPr>
          <w:rFonts w:cs="Arial"/>
          <w:szCs w:val="24"/>
        </w:rPr>
        <w:t>V – as coordenadas dos vértices definidores dos limites do patrimônio afetado, georreferenciadas ao Sistema Geodésico Brasileiro e com precisão posicional adotada pelo Incra para certificação do imóvel junto ao Sigef/Incra .</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1º Os documentos de que tratam a alínea “c” do inciso I do </w:t>
      </w:r>
      <w:r w:rsidRPr="00630D78">
        <w:rPr>
          <w:rFonts w:cs="Arial"/>
          <w:b/>
          <w:szCs w:val="24"/>
        </w:rPr>
        <w:t>caput</w:t>
      </w:r>
      <w:r w:rsidRPr="00630D78">
        <w:rPr>
          <w:rFonts w:cs="Arial"/>
          <w:szCs w:val="24"/>
        </w:rPr>
        <w:t xml:space="preserve"> deste artigo compreendem as certidões negativas de débitos fiscais perante as Fazendas Públicas, bem como de distribuição forense e de protestos do proprietário do imóvel, tanto no local de seu domicílio quanto no local do imóvel.</w:t>
      </w:r>
    </w:p>
    <w:p w:rsidR="00630D78" w:rsidRPr="00630D78" w:rsidRDefault="00630D78" w:rsidP="00630D78">
      <w:pPr>
        <w:pStyle w:val="Recuodecorpodetexto2"/>
        <w:spacing w:after="200"/>
        <w:ind w:firstLine="2302"/>
        <w:rPr>
          <w:rFonts w:cs="Arial"/>
          <w:szCs w:val="24"/>
        </w:rPr>
      </w:pPr>
      <w:r w:rsidRPr="00630D78">
        <w:rPr>
          <w:rFonts w:cs="Arial"/>
          <w:szCs w:val="24"/>
        </w:rPr>
        <w:t>§ 2º No caso de constituição de patrimônio rural em afetação sobre parte do imóvel rural, a fração não afetada deverá atender a todas as obrigações ambientais previstas em lei.</w:t>
      </w:r>
    </w:p>
    <w:p w:rsidR="00630D78" w:rsidRPr="00630D78" w:rsidRDefault="00630D78" w:rsidP="00630D78">
      <w:pPr>
        <w:pStyle w:val="Recuodecorpodetexto2"/>
        <w:spacing w:after="200"/>
        <w:ind w:firstLine="2302"/>
        <w:rPr>
          <w:rFonts w:cs="Arial"/>
          <w:szCs w:val="24"/>
        </w:rPr>
      </w:pPr>
      <w:bookmarkStart w:id="11" w:name="art12"/>
      <w:bookmarkEnd w:id="11"/>
      <w:r w:rsidRPr="00630D78">
        <w:rPr>
          <w:rFonts w:cs="Arial"/>
          <w:b/>
          <w:szCs w:val="24"/>
        </w:rPr>
        <w:t xml:space="preserve">Art. 13. </w:t>
      </w:r>
      <w:r w:rsidRPr="00630D78">
        <w:rPr>
          <w:rFonts w:cs="Arial"/>
          <w:szCs w:val="24"/>
        </w:rPr>
        <w:t>O oficial de registro de imóveis, caso considere a solicitação de constituição de patrimônio rural em afetação de imóvel rural ou a instrução de que trata o art. 12 em desacordo com o disposto nesta Lei, concederá o prazo de trinta dias, contado da data da decisão, para que o interessado faça as correções necessárias, sob pena de indeferimento da solicitação.</w:t>
      </w:r>
    </w:p>
    <w:p w:rsidR="00630D78" w:rsidRPr="00630D78" w:rsidRDefault="00630D78" w:rsidP="00630D78">
      <w:pPr>
        <w:pStyle w:val="Recuodecorpodetexto2"/>
        <w:spacing w:after="200"/>
        <w:ind w:firstLine="2302"/>
        <w:rPr>
          <w:rFonts w:cs="Arial"/>
          <w:szCs w:val="24"/>
        </w:rPr>
      </w:pPr>
      <w:r w:rsidRPr="00630D78">
        <w:rPr>
          <w:rFonts w:cs="Arial"/>
          <w:szCs w:val="24"/>
        </w:rPr>
        <w:t>Parágrafo único. O interessado poderá solicitar a reconsideração da decisão do oficial de registro de imóveis.</w:t>
      </w:r>
    </w:p>
    <w:p w:rsidR="00630D78" w:rsidRPr="00630D78" w:rsidRDefault="00630D78" w:rsidP="00630D78">
      <w:pPr>
        <w:pStyle w:val="Recuodecorpodetexto2"/>
        <w:spacing w:after="200"/>
        <w:ind w:firstLine="2302"/>
        <w:rPr>
          <w:rFonts w:cs="Arial"/>
          <w:szCs w:val="24"/>
        </w:rPr>
      </w:pPr>
      <w:bookmarkStart w:id="12" w:name="art13"/>
      <w:bookmarkEnd w:id="12"/>
      <w:r w:rsidRPr="00630D78">
        <w:rPr>
          <w:rFonts w:cs="Arial"/>
          <w:b/>
          <w:szCs w:val="24"/>
        </w:rPr>
        <w:t xml:space="preserve">Art. 14. </w:t>
      </w:r>
      <w:r w:rsidRPr="00630D78">
        <w:rPr>
          <w:rFonts w:cs="Arial"/>
          <w:szCs w:val="24"/>
        </w:rPr>
        <w:t>Incumbe ao proprietário que constituir o patrimônio rural em afetação:</w:t>
      </w:r>
    </w:p>
    <w:p w:rsidR="00630D78" w:rsidRPr="00630D78" w:rsidRDefault="00630D78" w:rsidP="00630D78">
      <w:pPr>
        <w:pStyle w:val="Recuodecorpodetexto2"/>
        <w:spacing w:after="200"/>
        <w:ind w:firstLine="2302"/>
        <w:rPr>
          <w:rFonts w:cs="Arial"/>
          <w:szCs w:val="24"/>
        </w:rPr>
      </w:pPr>
      <w:r w:rsidRPr="00630D78">
        <w:rPr>
          <w:rFonts w:cs="Arial"/>
          <w:szCs w:val="24"/>
        </w:rPr>
        <w:t>I - promover os atos necessários à administração e à preservação do patrimônio rural em afetação, inclusive por meio da adoção de medidas judiciais; e</w:t>
      </w:r>
    </w:p>
    <w:p w:rsidR="00630D78" w:rsidRPr="00630D78" w:rsidRDefault="00630D78" w:rsidP="00630D78">
      <w:pPr>
        <w:pStyle w:val="Recuodecorpodetexto2"/>
        <w:spacing w:after="200"/>
        <w:ind w:firstLine="2302"/>
        <w:rPr>
          <w:rFonts w:cs="Arial"/>
          <w:szCs w:val="24"/>
        </w:rPr>
      </w:pPr>
      <w:r w:rsidRPr="00630D78">
        <w:rPr>
          <w:rFonts w:cs="Arial"/>
          <w:szCs w:val="24"/>
        </w:rPr>
        <w:t>II - manter-se adimplente com as obrigações tributárias e os encargos fiscais, previdenciários e trabalhistas de sua responsabilidade, incluída a remuneração dos trabalhadores rurais.</w:t>
      </w:r>
    </w:p>
    <w:p w:rsidR="00630D78" w:rsidRPr="00630D78" w:rsidRDefault="00630D78" w:rsidP="00630D78">
      <w:pPr>
        <w:pStyle w:val="Recuodecorpodetexto2"/>
        <w:spacing w:after="200"/>
        <w:ind w:firstLine="2302"/>
        <w:rPr>
          <w:rFonts w:cs="Arial"/>
          <w:szCs w:val="24"/>
        </w:rPr>
      </w:pPr>
      <w:r w:rsidRPr="00630D78">
        <w:rPr>
          <w:rFonts w:cs="Arial"/>
          <w:b/>
          <w:szCs w:val="24"/>
        </w:rPr>
        <w:t>Art. 15.</w:t>
      </w:r>
      <w:r w:rsidRPr="00630D78">
        <w:rPr>
          <w:rFonts w:cs="Arial"/>
          <w:szCs w:val="24"/>
        </w:rPr>
        <w:t xml:space="preserve"> O cancelamento da afetação do imóvel rural ou sua fração, se concretiza mediante averbação no cartório de registro de imóveis.</w:t>
      </w:r>
    </w:p>
    <w:p w:rsidR="00630D78" w:rsidRPr="00630D78" w:rsidRDefault="00630D78" w:rsidP="00630D78">
      <w:pPr>
        <w:pStyle w:val="Recuodecorpodetexto2"/>
        <w:spacing w:after="200"/>
        <w:ind w:firstLine="2302"/>
        <w:rPr>
          <w:rFonts w:cs="Arial"/>
          <w:szCs w:val="24"/>
        </w:rPr>
      </w:pPr>
      <w:r w:rsidRPr="00630D78">
        <w:rPr>
          <w:rFonts w:cs="Arial"/>
          <w:szCs w:val="24"/>
        </w:rPr>
        <w:t>§ 1º O cancelamento será instruído com requerimento do proprietário, que deverá comprovar a não existência de CIR e de CPR sobre o patrimônio a ser desafetado.</w:t>
      </w:r>
    </w:p>
    <w:p w:rsidR="00630D78" w:rsidRPr="00630D78" w:rsidRDefault="00630D78" w:rsidP="00630D78">
      <w:pPr>
        <w:pStyle w:val="Recuodecorpodetexto2"/>
        <w:spacing w:after="200"/>
        <w:ind w:firstLine="2302"/>
        <w:rPr>
          <w:rFonts w:cs="Arial"/>
          <w:szCs w:val="24"/>
        </w:rPr>
      </w:pPr>
      <w:r w:rsidRPr="00630D78">
        <w:rPr>
          <w:rFonts w:cs="Arial"/>
          <w:szCs w:val="24"/>
        </w:rPr>
        <w:t>§ 2ª A comprovação de que trata o § 1ª será realizada por meio de certidão emitida por entidade mencionada no art. 19, no caso de CIR, ou por meio de certidão emitida pelo cartório de registro de imóveis competente, no caso de CPR.</w:t>
      </w:r>
    </w:p>
    <w:p w:rsidR="00630D78" w:rsidRPr="00630D78" w:rsidRDefault="00630D78" w:rsidP="00630D78">
      <w:pPr>
        <w:pStyle w:val="Recuodecorpodetexto2"/>
        <w:spacing w:after="200"/>
        <w:ind w:firstLine="2302"/>
        <w:rPr>
          <w:rFonts w:cs="Arial"/>
          <w:szCs w:val="24"/>
        </w:rPr>
      </w:pPr>
      <w:r w:rsidRPr="00630D78">
        <w:rPr>
          <w:rFonts w:cs="Arial"/>
          <w:szCs w:val="24"/>
        </w:rPr>
        <w:t>§ 3º Sobre o imóvel rural, ou sua fração, para o qual haja requerimento de cancelamento do patrimônio rural em afetação, não poderá ser emitida CIR ou CPR até a conclusão do pedido.</w:t>
      </w:r>
    </w:p>
    <w:p w:rsidR="00630D78" w:rsidRPr="00630D78" w:rsidRDefault="00630D78" w:rsidP="00630D78">
      <w:pPr>
        <w:pStyle w:val="Recuodecorpodetexto2"/>
        <w:spacing w:after="200"/>
        <w:ind w:firstLine="2302"/>
        <w:rPr>
          <w:rFonts w:cs="Arial"/>
          <w:szCs w:val="24"/>
        </w:rPr>
      </w:pPr>
      <w:r w:rsidRPr="00630D78">
        <w:rPr>
          <w:rFonts w:cs="Arial"/>
          <w:b/>
          <w:szCs w:val="24"/>
        </w:rPr>
        <w:t>Art. 16.</w:t>
      </w:r>
      <w:r w:rsidRPr="00630D78">
        <w:rPr>
          <w:rFonts w:cs="Arial"/>
          <w:szCs w:val="24"/>
        </w:rPr>
        <w:t xml:space="preserve"> A emissão da CPR, que utilizar como garantia o patrimônio rural em afetação, atenderá ao disposto na Lei nº 8.929, de 22 de agosto de 1994, e deverá cumprir as normas aplicáveis à Cédula Imobiliária Rural previstas no caput e no §º 1º do art.19, no art. 21, nos incisos VIII e IX e §§ 1º, 2º do art. 22 e nos arts. 24, 25, e 28.</w:t>
      </w:r>
    </w:p>
    <w:p w:rsidR="00630D78" w:rsidRPr="00630D78" w:rsidRDefault="00630D78" w:rsidP="00630D78">
      <w:pPr>
        <w:pStyle w:val="Recuodecorpodetexto2"/>
        <w:spacing w:after="200"/>
        <w:ind w:firstLine="2302"/>
        <w:rPr>
          <w:rFonts w:cs="Arial"/>
          <w:szCs w:val="24"/>
        </w:rPr>
      </w:pP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III</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DA CÉDULA IMOBILIÁRIA RURAL</w:t>
      </w:r>
    </w:p>
    <w:p w:rsidR="00630D78" w:rsidRPr="00630D78" w:rsidRDefault="00630D78" w:rsidP="00630D78">
      <w:pPr>
        <w:pStyle w:val="Recuodecorpodetexto2"/>
        <w:keepNext/>
        <w:spacing w:after="200"/>
        <w:ind w:firstLine="0"/>
        <w:jc w:val="center"/>
        <w:rPr>
          <w:rFonts w:cs="Arial"/>
          <w:szCs w:val="24"/>
        </w:rPr>
      </w:pPr>
    </w:p>
    <w:p w:rsidR="00630D78" w:rsidRPr="00630D78" w:rsidRDefault="00630D78" w:rsidP="00630D78">
      <w:pPr>
        <w:pStyle w:val="Recuodecorpodetexto2"/>
        <w:keepNext/>
        <w:spacing w:after="200"/>
        <w:ind w:firstLine="2302"/>
        <w:rPr>
          <w:rFonts w:cs="Arial"/>
          <w:szCs w:val="24"/>
        </w:rPr>
      </w:pPr>
      <w:bookmarkStart w:id="13" w:name="art14"/>
      <w:bookmarkEnd w:id="13"/>
      <w:r w:rsidRPr="00630D78">
        <w:rPr>
          <w:rFonts w:cs="Arial"/>
          <w:b/>
          <w:szCs w:val="24"/>
        </w:rPr>
        <w:t xml:space="preserve">Art. 17. </w:t>
      </w:r>
      <w:r w:rsidRPr="00630D78">
        <w:rPr>
          <w:rFonts w:cs="Arial"/>
          <w:szCs w:val="24"/>
        </w:rPr>
        <w:t>Fica instituída a Cédula Imobiliária Rural – CIR, título de crédito nominativo, transferível e de livre negociação, representativa de:</w:t>
      </w:r>
    </w:p>
    <w:p w:rsidR="00630D78" w:rsidRPr="00630D78" w:rsidRDefault="00630D78" w:rsidP="00630D78">
      <w:pPr>
        <w:pStyle w:val="Recuodecorpodetexto2"/>
        <w:spacing w:after="200"/>
        <w:ind w:firstLine="2302"/>
        <w:rPr>
          <w:rFonts w:cs="Arial"/>
          <w:szCs w:val="24"/>
        </w:rPr>
      </w:pPr>
      <w:r w:rsidRPr="00630D78">
        <w:rPr>
          <w:rFonts w:cs="Arial"/>
          <w:szCs w:val="24"/>
        </w:rPr>
        <w:t>I - promessa de pagamento em dinheiro, decorrente de operação de crédito, de qualquer modalidade; e</w:t>
      </w:r>
    </w:p>
    <w:p w:rsidR="00630D78" w:rsidRPr="00630D78" w:rsidRDefault="00630D78" w:rsidP="00630D78">
      <w:pPr>
        <w:pStyle w:val="Recuodecorpodetexto2"/>
        <w:spacing w:after="200"/>
        <w:ind w:firstLine="2302"/>
        <w:rPr>
          <w:rFonts w:cs="Arial"/>
          <w:szCs w:val="24"/>
        </w:rPr>
      </w:pPr>
      <w:r w:rsidRPr="00630D78">
        <w:rPr>
          <w:rFonts w:cs="Arial"/>
          <w:szCs w:val="24"/>
        </w:rPr>
        <w:t>II - obrigação de entregar, em favor do credor, bem imóvel rural ou fração deste vinculado ao patrimônio rural em afetação, e que seja garantia da operação de que trata o inciso I, nas hipóteses em que não houver o pagamento da operação até a data do vencimento.</w:t>
      </w:r>
    </w:p>
    <w:p w:rsidR="00630D78" w:rsidRPr="00630D78" w:rsidRDefault="00630D78" w:rsidP="00630D78">
      <w:pPr>
        <w:pStyle w:val="Recuodecorpodetexto2"/>
        <w:spacing w:after="200"/>
        <w:ind w:firstLine="2302"/>
        <w:rPr>
          <w:rFonts w:cs="Arial"/>
          <w:szCs w:val="24"/>
        </w:rPr>
      </w:pPr>
      <w:bookmarkStart w:id="14" w:name="art15"/>
      <w:bookmarkEnd w:id="14"/>
      <w:r w:rsidRPr="00630D78">
        <w:rPr>
          <w:rFonts w:cs="Arial"/>
          <w:b/>
          <w:szCs w:val="24"/>
        </w:rPr>
        <w:t xml:space="preserve">Art. 18. </w:t>
      </w:r>
      <w:r w:rsidRPr="00630D78">
        <w:rPr>
          <w:rFonts w:cs="Arial"/>
          <w:szCs w:val="24"/>
        </w:rPr>
        <w:t>Fica legitimado para emitir a CIR o proprietário de imóvel rural, pessoa natural ou jurídica, que houver constituído patrimônio rural em afetação na forma prevista no Capítulo II.</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1º </w:t>
      </w:r>
      <w:bookmarkStart w:id="15" w:name="_Hlk18590860"/>
      <w:r w:rsidRPr="00630D78">
        <w:rPr>
          <w:rFonts w:cs="Arial"/>
          <w:szCs w:val="24"/>
        </w:rPr>
        <w:t xml:space="preserve">A CIR será garantida por parte ou por todo o patrimônio rural em afetação, observada a identificação prevista no inciso VIII do </w:t>
      </w:r>
      <w:r w:rsidRPr="00630D78">
        <w:rPr>
          <w:rFonts w:cs="Arial"/>
          <w:b/>
          <w:szCs w:val="24"/>
        </w:rPr>
        <w:t>caput</w:t>
      </w:r>
      <w:r w:rsidRPr="00630D78">
        <w:rPr>
          <w:rFonts w:cs="Arial"/>
          <w:szCs w:val="24"/>
        </w:rPr>
        <w:t xml:space="preserve"> do art. </w:t>
      </w:r>
      <w:bookmarkEnd w:id="15"/>
      <w:r w:rsidRPr="00630D78">
        <w:rPr>
          <w:rFonts w:cs="Arial"/>
          <w:szCs w:val="24"/>
        </w:rPr>
        <w:t>22.</w:t>
      </w:r>
    </w:p>
    <w:p w:rsidR="00630D78" w:rsidRPr="00630D78" w:rsidRDefault="00630D78" w:rsidP="00630D78">
      <w:pPr>
        <w:pStyle w:val="Recuodecorpodetexto2"/>
        <w:spacing w:after="200"/>
        <w:ind w:firstLine="2302"/>
        <w:rPr>
          <w:rFonts w:cs="Arial"/>
          <w:szCs w:val="24"/>
        </w:rPr>
      </w:pPr>
      <w:r w:rsidRPr="00630D78">
        <w:rPr>
          <w:rFonts w:cs="Arial"/>
          <w:szCs w:val="24"/>
        </w:rPr>
        <w:t>§ 2º A Cédula Imobiliária Rural pode ser emitida sob a forma escritural, mediante lançamento em sistema de escrituração autorizado a funcionar pelo Banco Central do Brasil.</w:t>
      </w:r>
    </w:p>
    <w:p w:rsidR="00630D78" w:rsidRPr="00630D78" w:rsidRDefault="00630D78" w:rsidP="00630D78">
      <w:pPr>
        <w:pStyle w:val="Recuodecorpodetexto2"/>
        <w:spacing w:after="200"/>
        <w:ind w:firstLine="2302"/>
        <w:rPr>
          <w:rFonts w:cs="Arial"/>
          <w:szCs w:val="24"/>
        </w:rPr>
      </w:pPr>
      <w:bookmarkStart w:id="16" w:name="art16"/>
      <w:bookmarkEnd w:id="16"/>
      <w:r w:rsidRPr="00630D78">
        <w:rPr>
          <w:rFonts w:cs="Arial"/>
          <w:b/>
          <w:szCs w:val="24"/>
        </w:rPr>
        <w:t xml:space="preserve">Art. 19. </w:t>
      </w:r>
      <w:r w:rsidRPr="00630D78">
        <w:rPr>
          <w:rFonts w:cs="Arial"/>
          <w:szCs w:val="24"/>
        </w:rPr>
        <w:t>A CIR será levada a registro ou a depósito em entidade autorizada pelo Banco Central do Brasil a exercer a atividade de registro ou depósito centralizado de ativos financeiros e de valores mobiliários, nos termos do disposto na Lei nº 12.810, de 15 de maio de 2013, no prazo de cinco dias úteis, contado da data de sua emissão.</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1º O registro ou o depósito, realizado no prazo estabelecido no </w:t>
      </w:r>
      <w:r w:rsidRPr="00630D78">
        <w:rPr>
          <w:rFonts w:cs="Arial"/>
          <w:b/>
          <w:szCs w:val="24"/>
        </w:rPr>
        <w:t>caput</w:t>
      </w:r>
      <w:r w:rsidRPr="00630D78">
        <w:rPr>
          <w:rFonts w:cs="Arial"/>
          <w:szCs w:val="24"/>
        </w:rPr>
        <w:t>, é condição necessária para que a CIR tenha eficácia executiva sobre o patrimônio rural em afetação a ela vinculado.</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2º A entidade registradora ou depositária de que trata o </w:t>
      </w:r>
      <w:r w:rsidRPr="00630D78">
        <w:rPr>
          <w:rFonts w:cs="Arial"/>
          <w:b/>
          <w:szCs w:val="24"/>
        </w:rPr>
        <w:t>caput</w:t>
      </w:r>
      <w:r w:rsidRPr="00630D78">
        <w:rPr>
          <w:rFonts w:cs="Arial"/>
          <w:szCs w:val="24"/>
        </w:rPr>
        <w:t xml:space="preserve"> fornecerá à Central Nacional de Registro Imobiliário as informações suficientes para que o cartório de registro de imóveis competente proceda à averbação da CIR e de suas garantias.</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I – A  averbação de que trata o § 2º será considerada como ato sem conteúdo econômico. </w:t>
      </w:r>
    </w:p>
    <w:p w:rsidR="00630D78" w:rsidRPr="00630D78" w:rsidRDefault="00630D78" w:rsidP="00630D78">
      <w:pPr>
        <w:pStyle w:val="Recuodecorpodetexto2"/>
        <w:spacing w:after="200"/>
        <w:ind w:firstLine="2302"/>
        <w:rPr>
          <w:rFonts w:cs="Arial"/>
          <w:szCs w:val="24"/>
        </w:rPr>
      </w:pPr>
      <w:r w:rsidRPr="00630D78">
        <w:rPr>
          <w:rFonts w:cs="Arial"/>
          <w:szCs w:val="24"/>
        </w:rPr>
        <w:t>§ 3º A CIR cartular será escritural enquanto permanecer depositada.</w:t>
      </w:r>
    </w:p>
    <w:p w:rsidR="00630D78" w:rsidRPr="00630D78" w:rsidRDefault="00630D78" w:rsidP="00630D78">
      <w:pPr>
        <w:pStyle w:val="Recuodecorpodetexto2"/>
        <w:spacing w:after="200"/>
        <w:ind w:firstLine="2302"/>
        <w:rPr>
          <w:rFonts w:cs="Arial"/>
          <w:szCs w:val="24"/>
        </w:rPr>
      </w:pPr>
      <w:r w:rsidRPr="00630D78">
        <w:rPr>
          <w:rFonts w:cs="Arial"/>
          <w:szCs w:val="24"/>
        </w:rPr>
        <w:t>§ 4º No período em que a CIR estiver depositada, o histórico dos negócios ocorridos:</w:t>
      </w:r>
    </w:p>
    <w:p w:rsidR="00630D78" w:rsidRPr="00630D78" w:rsidRDefault="00630D78" w:rsidP="00630D78">
      <w:pPr>
        <w:pStyle w:val="Recuodecorpodetexto2"/>
        <w:spacing w:after="200"/>
        <w:ind w:firstLine="2302"/>
        <w:rPr>
          <w:rFonts w:cs="Arial"/>
          <w:szCs w:val="24"/>
        </w:rPr>
      </w:pPr>
      <w:r w:rsidRPr="00630D78">
        <w:rPr>
          <w:rFonts w:cs="Arial"/>
          <w:szCs w:val="24"/>
        </w:rPr>
        <w:t>I - não será transcrito no verso dos títulos; e</w:t>
      </w:r>
    </w:p>
    <w:p w:rsidR="00630D78" w:rsidRPr="00630D78" w:rsidRDefault="00630D78" w:rsidP="00630D78">
      <w:pPr>
        <w:pStyle w:val="Recuodecorpodetexto2"/>
        <w:spacing w:after="200"/>
        <w:ind w:firstLine="2302"/>
        <w:rPr>
          <w:rFonts w:cs="Arial"/>
          <w:szCs w:val="24"/>
        </w:rPr>
      </w:pPr>
      <w:r w:rsidRPr="00630D78">
        <w:rPr>
          <w:rFonts w:cs="Arial"/>
          <w:szCs w:val="24"/>
        </w:rPr>
        <w:t>II - será anotado nos registros do sistema.</w:t>
      </w:r>
    </w:p>
    <w:p w:rsidR="00630D78" w:rsidRPr="00630D78" w:rsidRDefault="00630D78" w:rsidP="00630D78">
      <w:pPr>
        <w:pStyle w:val="Recuodecorpodetexto2"/>
        <w:spacing w:after="200"/>
        <w:ind w:firstLine="2302"/>
        <w:rPr>
          <w:rFonts w:cs="Arial"/>
          <w:szCs w:val="24"/>
        </w:rPr>
      </w:pPr>
      <w:bookmarkStart w:id="17" w:name="art17"/>
      <w:bookmarkEnd w:id="17"/>
      <w:r w:rsidRPr="00630D78">
        <w:rPr>
          <w:rFonts w:cs="Arial"/>
          <w:b/>
          <w:szCs w:val="24"/>
        </w:rPr>
        <w:t xml:space="preserve">Art. 20. </w:t>
      </w:r>
      <w:r w:rsidRPr="00630D78">
        <w:rPr>
          <w:rFonts w:cs="Arial"/>
          <w:szCs w:val="24"/>
        </w:rPr>
        <w:t>A CIR poderá ser garantida por terceiros, inclusive por instituição financeira ou seguradora.</w:t>
      </w:r>
    </w:p>
    <w:p w:rsidR="00630D78" w:rsidRPr="00630D78" w:rsidRDefault="00630D78" w:rsidP="00630D78">
      <w:pPr>
        <w:pStyle w:val="Recuodecorpodetexto2"/>
        <w:spacing w:after="200"/>
        <w:ind w:firstLine="2302"/>
        <w:rPr>
          <w:rFonts w:cs="Arial"/>
          <w:szCs w:val="24"/>
        </w:rPr>
      </w:pPr>
      <w:bookmarkStart w:id="18" w:name="art18"/>
      <w:bookmarkEnd w:id="18"/>
      <w:r w:rsidRPr="00630D78">
        <w:rPr>
          <w:rFonts w:cs="Arial"/>
          <w:b/>
          <w:szCs w:val="24"/>
        </w:rPr>
        <w:t xml:space="preserve">Art. 21. </w:t>
      </w:r>
      <w:r w:rsidRPr="00630D78">
        <w:rPr>
          <w:rFonts w:cs="Arial"/>
          <w:szCs w:val="24"/>
        </w:rPr>
        <w:t>A CIR é título executivo extrajudicial e representa dívida em dinheiro, certa, líquida e exigível, correspondente ao valor nela indicado ou ao saldo devedor da operação de crédito que representa.</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1º A CIR poderá receber aval, que constará do registro ou do depósito de que trata o </w:t>
      </w:r>
      <w:r w:rsidRPr="00630D78">
        <w:rPr>
          <w:rFonts w:cs="Arial"/>
          <w:b/>
          <w:szCs w:val="24"/>
        </w:rPr>
        <w:t>caput</w:t>
      </w:r>
      <w:r w:rsidRPr="00630D78">
        <w:rPr>
          <w:rFonts w:cs="Arial"/>
          <w:szCs w:val="24"/>
        </w:rPr>
        <w:t xml:space="preserve"> do art. 19 ou da cártula, nos termos do disposto no § 2º do art. 19.</w:t>
      </w:r>
    </w:p>
    <w:p w:rsidR="00630D78" w:rsidRPr="00630D78" w:rsidRDefault="00630D78" w:rsidP="00630D78">
      <w:pPr>
        <w:pStyle w:val="Recuodecorpodetexto2"/>
        <w:spacing w:after="200"/>
        <w:ind w:firstLine="2302"/>
        <w:rPr>
          <w:rFonts w:cs="Arial"/>
          <w:szCs w:val="24"/>
        </w:rPr>
      </w:pPr>
      <w:r w:rsidRPr="00630D78">
        <w:rPr>
          <w:rFonts w:cs="Arial"/>
          <w:szCs w:val="24"/>
        </w:rPr>
        <w:t>§ 2º Fica dispensado o protesto para assegurar o direito de regresso contra endossantes e avalistas.</w:t>
      </w:r>
    </w:p>
    <w:p w:rsidR="00630D78" w:rsidRPr="00630D78" w:rsidRDefault="00630D78" w:rsidP="00630D78">
      <w:pPr>
        <w:pStyle w:val="Recuodecorpodetexto2"/>
        <w:spacing w:after="200"/>
        <w:ind w:firstLine="2302"/>
        <w:rPr>
          <w:rFonts w:cs="Arial"/>
          <w:szCs w:val="24"/>
        </w:rPr>
      </w:pPr>
      <w:bookmarkStart w:id="19" w:name="art19"/>
      <w:bookmarkEnd w:id="19"/>
      <w:r w:rsidRPr="00630D78">
        <w:rPr>
          <w:rFonts w:cs="Arial"/>
          <w:b/>
          <w:szCs w:val="24"/>
        </w:rPr>
        <w:t>Art. 22.</w:t>
      </w:r>
      <w:r w:rsidRPr="00630D78">
        <w:rPr>
          <w:rFonts w:cs="Arial"/>
          <w:szCs w:val="24"/>
        </w:rPr>
        <w:t xml:space="preserve"> A CIR conterá os seguintes requisitos lançados em seu contexto:</w:t>
      </w:r>
    </w:p>
    <w:p w:rsidR="00630D78" w:rsidRPr="00630D78" w:rsidRDefault="00630D78" w:rsidP="00630D78">
      <w:pPr>
        <w:pStyle w:val="Recuodecorpodetexto2"/>
        <w:spacing w:after="200"/>
        <w:ind w:firstLine="2302"/>
        <w:rPr>
          <w:rFonts w:cs="Arial"/>
          <w:szCs w:val="24"/>
        </w:rPr>
      </w:pPr>
      <w:r w:rsidRPr="00630D78">
        <w:rPr>
          <w:rFonts w:cs="Arial"/>
          <w:szCs w:val="24"/>
        </w:rPr>
        <w:t>I - a denominação “Cédula Imobiliária Rural”;</w:t>
      </w:r>
    </w:p>
    <w:p w:rsidR="00630D78" w:rsidRPr="00630D78" w:rsidRDefault="00630D78" w:rsidP="00630D78">
      <w:pPr>
        <w:pStyle w:val="Recuodecorpodetexto2"/>
        <w:spacing w:after="200"/>
        <w:ind w:firstLine="2302"/>
        <w:rPr>
          <w:rFonts w:cs="Arial"/>
          <w:szCs w:val="24"/>
        </w:rPr>
      </w:pPr>
      <w:r w:rsidRPr="00630D78">
        <w:rPr>
          <w:rFonts w:cs="Arial"/>
          <w:szCs w:val="24"/>
        </w:rPr>
        <w:t>II - a assinatura do emitente;</w:t>
      </w:r>
    </w:p>
    <w:p w:rsidR="00630D78" w:rsidRPr="00630D78" w:rsidRDefault="00630D78" w:rsidP="00630D78">
      <w:pPr>
        <w:pStyle w:val="Recuodecorpodetexto2"/>
        <w:spacing w:after="200"/>
        <w:ind w:firstLine="2302"/>
        <w:rPr>
          <w:rFonts w:cs="Arial"/>
          <w:szCs w:val="24"/>
        </w:rPr>
      </w:pPr>
      <w:r w:rsidRPr="00630D78">
        <w:rPr>
          <w:rFonts w:cs="Arial"/>
          <w:szCs w:val="24"/>
        </w:rPr>
        <w:t>III - o nome do credor, permitida a cláusula à ordem;</w:t>
      </w:r>
    </w:p>
    <w:p w:rsidR="00630D78" w:rsidRPr="00630D78" w:rsidRDefault="00630D78" w:rsidP="00630D78">
      <w:pPr>
        <w:pStyle w:val="Recuodecorpodetexto2"/>
        <w:spacing w:after="200"/>
        <w:ind w:firstLine="2302"/>
        <w:rPr>
          <w:rFonts w:cs="Arial"/>
          <w:szCs w:val="24"/>
        </w:rPr>
      </w:pPr>
      <w:r w:rsidRPr="00630D78">
        <w:rPr>
          <w:rFonts w:cs="Arial"/>
          <w:szCs w:val="24"/>
        </w:rPr>
        <w:t>IV - a data e o local da emissão;</w:t>
      </w:r>
    </w:p>
    <w:p w:rsidR="00630D78" w:rsidRPr="00630D78" w:rsidRDefault="00630D78" w:rsidP="00630D78">
      <w:pPr>
        <w:pStyle w:val="Recuodecorpodetexto2"/>
        <w:spacing w:after="200"/>
        <w:ind w:firstLine="2302"/>
        <w:rPr>
          <w:rFonts w:cs="Arial"/>
          <w:szCs w:val="24"/>
        </w:rPr>
      </w:pPr>
      <w:r w:rsidRPr="00630D78">
        <w:rPr>
          <w:rFonts w:cs="Arial"/>
          <w:szCs w:val="24"/>
        </w:rPr>
        <w:t>V - a promessa do emitente de pagar o valor da CIR em dinheiro, certo, líquido e exigível no seu vencimento;</w:t>
      </w:r>
    </w:p>
    <w:p w:rsidR="00630D78" w:rsidRPr="00630D78" w:rsidRDefault="00630D78" w:rsidP="00630D78">
      <w:pPr>
        <w:pStyle w:val="Recuodecorpodetexto2"/>
        <w:spacing w:after="200"/>
        <w:ind w:firstLine="2302"/>
        <w:rPr>
          <w:rFonts w:cs="Arial"/>
          <w:szCs w:val="24"/>
        </w:rPr>
      </w:pPr>
      <w:r w:rsidRPr="00630D78">
        <w:rPr>
          <w:rFonts w:cs="Arial"/>
          <w:szCs w:val="24"/>
        </w:rPr>
        <w:t>VI - a data e o local do pagamento da dívida e, na hipótese de pagamento parcelado, as datas e os valores de cada prestação;</w:t>
      </w:r>
    </w:p>
    <w:p w:rsidR="00630D78" w:rsidRPr="00630D78" w:rsidRDefault="00630D78" w:rsidP="00630D78">
      <w:pPr>
        <w:pStyle w:val="Recuodecorpodetexto2"/>
        <w:spacing w:after="200"/>
        <w:ind w:firstLine="2302"/>
        <w:rPr>
          <w:rFonts w:cs="Arial"/>
          <w:szCs w:val="24"/>
        </w:rPr>
      </w:pPr>
      <w:r w:rsidRPr="00630D78">
        <w:rPr>
          <w:rFonts w:cs="Arial"/>
          <w:szCs w:val="24"/>
        </w:rPr>
        <w:t>VII - a data de vencimento;</w:t>
      </w:r>
    </w:p>
    <w:p w:rsidR="00630D78" w:rsidRPr="00630D78" w:rsidRDefault="00630D78" w:rsidP="00630D78">
      <w:pPr>
        <w:pStyle w:val="Recuodecorpodetexto2"/>
        <w:spacing w:after="200"/>
        <w:ind w:firstLine="2302"/>
        <w:rPr>
          <w:rFonts w:cs="Arial"/>
          <w:szCs w:val="24"/>
        </w:rPr>
      </w:pPr>
      <w:r w:rsidRPr="00630D78">
        <w:rPr>
          <w:rFonts w:cs="Arial"/>
          <w:szCs w:val="24"/>
        </w:rPr>
        <w:t>VIII - a identificação do patrimônio rural em afetação, ou de sua parte, correspondente à garantia oferecida na CIR; e</w:t>
      </w:r>
    </w:p>
    <w:p w:rsidR="00630D78" w:rsidRPr="00630D78" w:rsidRDefault="00630D78" w:rsidP="00630D78">
      <w:pPr>
        <w:pStyle w:val="Recuodecorpodetexto2"/>
        <w:spacing w:after="200"/>
        <w:ind w:firstLine="2302"/>
        <w:rPr>
          <w:rFonts w:cs="Arial"/>
          <w:szCs w:val="24"/>
        </w:rPr>
      </w:pPr>
      <w:r w:rsidRPr="00630D78">
        <w:rPr>
          <w:rFonts w:cs="Arial"/>
          <w:szCs w:val="24"/>
        </w:rPr>
        <w:t>IX - a autorização irretratável para que o oficial de registro de imóveis processe, em favor do credor, o registro de transmissão da propriedade do imóvel rural, ou da fração, constituinte do patrimônio rural em afetação vinculado à CIR, de acordo com o disposto no art. 28.</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1º A identificação de que trata o inciso VIII do </w:t>
      </w:r>
      <w:r w:rsidRPr="00630D78">
        <w:rPr>
          <w:rFonts w:cs="Arial"/>
          <w:b/>
          <w:szCs w:val="24"/>
        </w:rPr>
        <w:t>caput</w:t>
      </w:r>
      <w:r w:rsidRPr="00630D78">
        <w:rPr>
          <w:rFonts w:cs="Arial"/>
          <w:szCs w:val="24"/>
        </w:rPr>
        <w:t xml:space="preserve"> conterá os números de registro e de matrícula do imóvel no cartório de registro de imóveis competente e as coordenadas dos vértices definidores dos limites da área vinculada à CIR, georreferenciadas ao Sistema Geodésico Brasileiro, observadas as vedações de que trata o art. 8º e respeitadas as exigências estabelecidas pela legislação ambiental.</w:t>
      </w:r>
    </w:p>
    <w:p w:rsidR="00630D78" w:rsidRPr="00630D78" w:rsidRDefault="00630D78" w:rsidP="00630D78">
      <w:pPr>
        <w:pStyle w:val="Recuodecorpodetexto2"/>
        <w:spacing w:after="200"/>
        <w:ind w:firstLine="2302"/>
        <w:rPr>
          <w:rFonts w:cs="Arial"/>
          <w:szCs w:val="24"/>
        </w:rPr>
      </w:pPr>
      <w:r w:rsidRPr="00630D78">
        <w:rPr>
          <w:rFonts w:cs="Arial"/>
          <w:szCs w:val="24"/>
        </w:rPr>
        <w:t>§ 2º O patrimônio rural em afetação ou sua parte vinculada a cada CIR observará o disposto na legislação ambiental e no inciso III do art. 8º.</w:t>
      </w:r>
    </w:p>
    <w:p w:rsidR="00630D78" w:rsidRPr="00630D78" w:rsidRDefault="00630D78" w:rsidP="00630D78">
      <w:pPr>
        <w:pStyle w:val="Recuodecorpodetexto2"/>
        <w:spacing w:after="200"/>
        <w:ind w:firstLine="2302"/>
        <w:rPr>
          <w:rFonts w:cs="Arial"/>
          <w:szCs w:val="24"/>
        </w:rPr>
      </w:pPr>
      <w:r w:rsidRPr="00630D78">
        <w:rPr>
          <w:rFonts w:cs="Arial"/>
          <w:szCs w:val="24"/>
        </w:rPr>
        <w:t>§ 3º A CIR, sem que configure requisito essencial, poderá conter outras cláusulas não financeiras lançadas em seu registro, depósito ou cártula, as quais poderão constar de documento à parte, com a assinatura do emitente, incluída a menção a essa circunstância no registro, no depósito ou na cártula.</w:t>
      </w:r>
    </w:p>
    <w:p w:rsidR="00630D78" w:rsidRPr="00630D78" w:rsidRDefault="00630D78" w:rsidP="00630D78">
      <w:pPr>
        <w:pStyle w:val="Recuodecorpodetexto2"/>
        <w:spacing w:after="200"/>
        <w:ind w:firstLine="2302"/>
        <w:rPr>
          <w:rFonts w:cs="Arial"/>
          <w:szCs w:val="24"/>
        </w:rPr>
      </w:pPr>
      <w:bookmarkStart w:id="20" w:name="art20"/>
      <w:bookmarkEnd w:id="20"/>
      <w:r w:rsidRPr="00630D78">
        <w:rPr>
          <w:rFonts w:cs="Arial"/>
          <w:b/>
          <w:szCs w:val="24"/>
        </w:rPr>
        <w:t xml:space="preserve">Art. 23. </w:t>
      </w:r>
      <w:r w:rsidRPr="00630D78">
        <w:rPr>
          <w:rFonts w:cs="Arial"/>
          <w:szCs w:val="24"/>
        </w:rPr>
        <w:t>A CIR poderá ser negociada somente nos mercados regulamentados de valores mobiliários quando registrada ou depositada em entidade autorizada pelo Banco Central do Brasil a exercer a atividade de registro ou depósito centralizado de ativos financeiros e de valores mobiliários.</w:t>
      </w:r>
    </w:p>
    <w:p w:rsidR="00630D78" w:rsidRPr="00630D78" w:rsidRDefault="00630D78" w:rsidP="00630D78">
      <w:pPr>
        <w:pStyle w:val="Recuodecorpodetexto2"/>
        <w:spacing w:after="200"/>
        <w:ind w:firstLine="2302"/>
        <w:rPr>
          <w:rFonts w:cs="Arial"/>
          <w:szCs w:val="24"/>
        </w:rPr>
      </w:pPr>
      <w:bookmarkStart w:id="21" w:name="art21"/>
      <w:bookmarkEnd w:id="21"/>
      <w:r w:rsidRPr="00630D78">
        <w:rPr>
          <w:rFonts w:cs="Arial"/>
          <w:b/>
          <w:szCs w:val="24"/>
        </w:rPr>
        <w:t>Art. 24.</w:t>
      </w:r>
      <w:r w:rsidRPr="00630D78">
        <w:rPr>
          <w:rFonts w:cs="Arial"/>
          <w:szCs w:val="24"/>
        </w:rPr>
        <w:t xml:space="preserve"> O emitente usará, até a efetiva liquidação da obrigação garantida pela CIR, a suas expensas e risco, o imóvel rural objeto do patrimônio rural em afetação, conforme a sua destinação, e deverá empregar, na sua guarda, a diligência exigida por sua natureza.</w:t>
      </w:r>
    </w:p>
    <w:p w:rsidR="00630D78" w:rsidRPr="00630D78" w:rsidRDefault="00630D78" w:rsidP="00630D78">
      <w:pPr>
        <w:pStyle w:val="Recuodecorpodetexto2"/>
        <w:spacing w:after="200"/>
        <w:ind w:firstLine="2302"/>
        <w:rPr>
          <w:rFonts w:cs="Arial"/>
          <w:szCs w:val="24"/>
        </w:rPr>
      </w:pPr>
      <w:bookmarkStart w:id="22" w:name="art22"/>
      <w:bookmarkEnd w:id="22"/>
      <w:r w:rsidRPr="00630D78">
        <w:rPr>
          <w:rFonts w:cs="Arial"/>
          <w:b/>
          <w:szCs w:val="24"/>
        </w:rPr>
        <w:t xml:space="preserve">Art. 25. </w:t>
      </w:r>
      <w:r w:rsidRPr="00630D78">
        <w:rPr>
          <w:rFonts w:cs="Arial"/>
          <w:szCs w:val="24"/>
        </w:rPr>
        <w:t>Na hipótese de o bem constitutivo da garantia ser desapropriado ou danificado por fato imputável a terceiro, o credor será sub-rogado no direito à indenização devida pelo expropriante ou pelo terceiro causador do dano, até o montante necessário para liquidar ou amortizar a obrigação garantida.</w:t>
      </w:r>
    </w:p>
    <w:p w:rsidR="00630D78" w:rsidRPr="00630D78" w:rsidRDefault="00630D78" w:rsidP="00630D78">
      <w:pPr>
        <w:pStyle w:val="Recuodecorpodetexto2"/>
        <w:spacing w:after="200"/>
        <w:ind w:firstLine="2302"/>
        <w:rPr>
          <w:rFonts w:cs="Arial"/>
          <w:szCs w:val="24"/>
        </w:rPr>
      </w:pPr>
      <w:bookmarkStart w:id="23" w:name="art23"/>
      <w:bookmarkEnd w:id="23"/>
      <w:r w:rsidRPr="00630D78">
        <w:rPr>
          <w:rFonts w:cs="Arial"/>
          <w:b/>
          <w:szCs w:val="24"/>
        </w:rPr>
        <w:t xml:space="preserve">Art. 26. </w:t>
      </w:r>
      <w:r w:rsidRPr="00630D78">
        <w:rPr>
          <w:rFonts w:cs="Arial"/>
          <w:szCs w:val="24"/>
        </w:rPr>
        <w:t>O vencimento da CIR será antecipado, independentemente de aviso ou interpelação judicial ou extrajudicial, nas seguintes hipóteses:</w:t>
      </w:r>
    </w:p>
    <w:p w:rsidR="00630D78" w:rsidRPr="00630D78" w:rsidRDefault="00630D78" w:rsidP="00630D78">
      <w:pPr>
        <w:pStyle w:val="Recuodecorpodetexto2"/>
        <w:spacing w:after="200"/>
        <w:ind w:firstLine="2302"/>
        <w:rPr>
          <w:rFonts w:cs="Arial"/>
          <w:szCs w:val="24"/>
        </w:rPr>
      </w:pPr>
      <w:r w:rsidRPr="00630D78">
        <w:rPr>
          <w:rFonts w:cs="Arial"/>
          <w:szCs w:val="24"/>
        </w:rPr>
        <w:t>I - descumprimento das obrigações de que trata o inciso I do art. 14;</w:t>
      </w:r>
    </w:p>
    <w:p w:rsidR="00630D78" w:rsidRPr="00630D78" w:rsidRDefault="00630D78" w:rsidP="00630D78">
      <w:pPr>
        <w:pStyle w:val="Recuodecorpodetexto2"/>
        <w:spacing w:after="200"/>
        <w:ind w:firstLine="2302"/>
        <w:rPr>
          <w:rFonts w:cs="Arial"/>
          <w:szCs w:val="24"/>
        </w:rPr>
      </w:pPr>
      <w:r w:rsidRPr="00630D78">
        <w:rPr>
          <w:rFonts w:cs="Arial"/>
          <w:szCs w:val="24"/>
        </w:rPr>
        <w:t>II - insolvência civil, falência ou recuperação judicial do emitente; ou</w:t>
      </w:r>
    </w:p>
    <w:p w:rsidR="00630D78" w:rsidRPr="00630D78" w:rsidRDefault="00630D78" w:rsidP="00630D78">
      <w:pPr>
        <w:pStyle w:val="Recuodecorpodetexto2"/>
        <w:spacing w:after="200"/>
        <w:ind w:firstLine="2302"/>
        <w:rPr>
          <w:rFonts w:cs="Arial"/>
          <w:szCs w:val="24"/>
        </w:rPr>
      </w:pPr>
      <w:r w:rsidRPr="00630D78">
        <w:rPr>
          <w:rFonts w:cs="Arial"/>
          <w:szCs w:val="24"/>
        </w:rPr>
        <w:t>III - na existência de prática comprovada de desvio de bens e administração ruinosa do imóvel rural que constitui o patrimônio rural em afetação a ela vinculado.</w:t>
      </w:r>
    </w:p>
    <w:p w:rsidR="00630D78" w:rsidRPr="00630D78" w:rsidRDefault="00630D78" w:rsidP="00630D78">
      <w:pPr>
        <w:pStyle w:val="Recuodecorpodetexto2"/>
        <w:spacing w:after="200"/>
        <w:ind w:firstLine="2302"/>
        <w:rPr>
          <w:rFonts w:cs="Arial"/>
          <w:szCs w:val="24"/>
        </w:rPr>
      </w:pPr>
      <w:r w:rsidRPr="00630D78">
        <w:rPr>
          <w:rFonts w:cs="Arial"/>
          <w:b/>
          <w:szCs w:val="24"/>
        </w:rPr>
        <w:t>Art. 27.</w:t>
      </w:r>
      <w:r w:rsidRPr="00630D78">
        <w:rPr>
          <w:rFonts w:cs="Arial"/>
          <w:szCs w:val="24"/>
        </w:rPr>
        <w:t xml:space="preserve"> O credor fica obrigado a informar à entidade autorizada no art. 19, sobre a liquidação da CIR no prazo máximo de cinco dias úteis após sua efetivação.</w:t>
      </w:r>
    </w:p>
    <w:p w:rsidR="00630D78" w:rsidRPr="00630D78" w:rsidRDefault="00630D78" w:rsidP="00630D78">
      <w:pPr>
        <w:pStyle w:val="Recuodecorpodetexto2"/>
        <w:spacing w:after="200"/>
        <w:ind w:firstLine="2302"/>
        <w:rPr>
          <w:rFonts w:cs="Arial"/>
          <w:szCs w:val="24"/>
        </w:rPr>
      </w:pPr>
      <w:bookmarkStart w:id="24" w:name="art24"/>
      <w:bookmarkEnd w:id="24"/>
      <w:r w:rsidRPr="00630D78">
        <w:rPr>
          <w:rFonts w:cs="Arial"/>
          <w:b/>
          <w:szCs w:val="24"/>
        </w:rPr>
        <w:t xml:space="preserve">Art. 28. </w:t>
      </w:r>
      <w:r w:rsidRPr="00630D78">
        <w:rPr>
          <w:rFonts w:cs="Arial"/>
          <w:szCs w:val="24"/>
        </w:rPr>
        <w:t>Vencida a CIR e não liquidado o crédito por ela representado, o credor poderá exercer de imediato o direito à transferência, para sua titularidade, do registro da propriedade da área rural que constitui o patrimônio rural em afetação ou de sua parte vinculado a CIR no cartório de registro de imóveis correspondente.</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 1º </w:t>
      </w:r>
      <w:r w:rsidRPr="00630D78">
        <w:rPr>
          <w:rFonts w:cs="Arial"/>
          <w:szCs w:val="24"/>
        </w:rPr>
        <w:t>Quando a área rural constitutiva do patrimônio rural em afetação vinculado à CIR estiver contida em imóvel rural de maior área, ou quando apenas parte do patrimônio rural em afetação estiver vinculada à CIR, o oficial de registro de imóveis, de ofício e à custa do beneficiário final, efetuará o desmembramento e estabelecerá a matrícula própria correspondente.</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 2º </w:t>
      </w:r>
      <w:r w:rsidRPr="00630D78">
        <w:rPr>
          <w:rFonts w:cs="Arial"/>
          <w:szCs w:val="24"/>
        </w:rPr>
        <w:t xml:space="preserve">Na hipótese prevista no </w:t>
      </w:r>
      <w:r w:rsidRPr="00630D78">
        <w:rPr>
          <w:rFonts w:cs="Arial"/>
          <w:b/>
          <w:szCs w:val="24"/>
        </w:rPr>
        <w:t>caput</w:t>
      </w:r>
      <w:r w:rsidRPr="00630D78">
        <w:rPr>
          <w:rFonts w:cs="Arial"/>
          <w:szCs w:val="24"/>
        </w:rPr>
        <w:t xml:space="preserve">, aplica-se, no que couber, o disposto nos </w:t>
      </w:r>
      <w:hyperlink r:id="rId9" w:anchor="art26" w:history="1">
        <w:r w:rsidRPr="00630D78">
          <w:rPr>
            <w:rFonts w:cs="Arial"/>
            <w:szCs w:val="24"/>
          </w:rPr>
          <w:t>art. 26</w:t>
        </w:r>
      </w:hyperlink>
      <w:r w:rsidRPr="00630D78">
        <w:rPr>
          <w:rFonts w:cs="Arial"/>
          <w:szCs w:val="24"/>
        </w:rPr>
        <w:t xml:space="preserve"> e art. 27 da Lei nº 9.514, de 20 de novembro de 1997, respeitado o disposto no § 3º deste artigo.</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 3º </w:t>
      </w:r>
      <w:r w:rsidRPr="00630D78">
        <w:rPr>
          <w:rFonts w:cs="Arial"/>
          <w:szCs w:val="24"/>
        </w:rPr>
        <w:t>Se, no segundo leilão de que trata o art. 27 da Lei nº 9.514, de 20 de novembro de 1997, o maior lance oferecido não for igual ou superior ao valor da dívida, somado ao das despesas, dos prêmios de seguro e dos encargos legais, incluídos os tributos, o credor poderá cobrar do devedor, por via executiva, o valor remanescente de seu crédito, sem nenhum direito de retenção ou indenização sobre o imóvel alienado.</w:t>
      </w:r>
    </w:p>
    <w:p w:rsidR="00630D78" w:rsidRPr="00630D78" w:rsidRDefault="00630D78" w:rsidP="00630D78">
      <w:pPr>
        <w:pStyle w:val="Recuodecorpodetexto2"/>
        <w:spacing w:after="200"/>
        <w:ind w:firstLine="2302"/>
        <w:rPr>
          <w:rFonts w:cs="Arial"/>
          <w:szCs w:val="24"/>
        </w:rPr>
      </w:pPr>
      <w:bookmarkStart w:id="25" w:name="art25"/>
      <w:bookmarkEnd w:id="25"/>
      <w:r w:rsidRPr="00630D78">
        <w:rPr>
          <w:rFonts w:cs="Arial"/>
          <w:b/>
          <w:szCs w:val="24"/>
        </w:rPr>
        <w:t xml:space="preserve">Art. 29. </w:t>
      </w:r>
      <w:r w:rsidRPr="00630D78">
        <w:rPr>
          <w:rFonts w:cs="Arial"/>
          <w:szCs w:val="24"/>
        </w:rPr>
        <w:t>Aplicam-se à CIR, no que couber, as normas de direito cambial, com as seguintes modificações:</w:t>
      </w:r>
    </w:p>
    <w:p w:rsidR="00630D78" w:rsidRPr="00630D78" w:rsidRDefault="00630D78" w:rsidP="00630D78">
      <w:pPr>
        <w:pStyle w:val="Recuodecorpodetexto2"/>
        <w:spacing w:after="200"/>
        <w:ind w:firstLine="2302"/>
        <w:rPr>
          <w:rFonts w:cs="Arial"/>
          <w:szCs w:val="24"/>
        </w:rPr>
      </w:pPr>
      <w:r w:rsidRPr="00630D78">
        <w:rPr>
          <w:rFonts w:cs="Arial"/>
          <w:szCs w:val="24"/>
        </w:rPr>
        <w:t>I - os endossos deverão ser completos; e</w:t>
      </w:r>
    </w:p>
    <w:p w:rsidR="00630D78" w:rsidRPr="00630D78" w:rsidRDefault="00630D78" w:rsidP="00630D78">
      <w:pPr>
        <w:pStyle w:val="Recuodecorpodetexto2"/>
        <w:spacing w:after="200"/>
        <w:ind w:firstLine="2302"/>
        <w:rPr>
          <w:rFonts w:cs="Arial"/>
          <w:szCs w:val="24"/>
        </w:rPr>
      </w:pPr>
      <w:r w:rsidRPr="00630D78">
        <w:rPr>
          <w:rFonts w:cs="Arial"/>
          <w:szCs w:val="24"/>
        </w:rPr>
        <w:t>II - os endossantes responderão somente pela existência da obrigação.</w:t>
      </w:r>
    </w:p>
    <w:p w:rsidR="00630D78" w:rsidRPr="00630D78" w:rsidRDefault="00630D78" w:rsidP="00630D78">
      <w:pPr>
        <w:pStyle w:val="Recuodecorpodetexto2"/>
        <w:spacing w:after="200"/>
        <w:ind w:firstLine="2302"/>
        <w:rPr>
          <w:rFonts w:cs="Arial"/>
          <w:szCs w:val="24"/>
        </w:rPr>
      </w:pP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IV</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DO CERTIFICADO DE DEPÓSITO BANCÁRIO</w:t>
      </w:r>
    </w:p>
    <w:p w:rsidR="00630D78" w:rsidRPr="00630D78" w:rsidRDefault="00630D78" w:rsidP="00630D78">
      <w:pPr>
        <w:pStyle w:val="Recuodecorpodetexto2"/>
        <w:keepNext/>
        <w:spacing w:after="200"/>
        <w:ind w:firstLine="0"/>
        <w:jc w:val="center"/>
        <w:rPr>
          <w:rFonts w:cs="Arial"/>
          <w:b/>
          <w:szCs w:val="24"/>
        </w:rPr>
      </w:pPr>
    </w:p>
    <w:p w:rsidR="00630D78" w:rsidRPr="00630D78" w:rsidRDefault="00630D78" w:rsidP="00630D78">
      <w:pPr>
        <w:pStyle w:val="Recuodecorpodetexto2"/>
        <w:keepNext/>
        <w:spacing w:after="200"/>
        <w:ind w:firstLine="2302"/>
        <w:rPr>
          <w:rFonts w:cs="Arial"/>
          <w:szCs w:val="24"/>
        </w:rPr>
      </w:pPr>
      <w:r w:rsidRPr="00630D78">
        <w:rPr>
          <w:rFonts w:cs="Arial"/>
          <w:b/>
          <w:szCs w:val="24"/>
        </w:rPr>
        <w:t xml:space="preserve">Art. 30. </w:t>
      </w:r>
      <w:r w:rsidRPr="00630D78">
        <w:rPr>
          <w:rFonts w:cs="Arial"/>
          <w:szCs w:val="24"/>
        </w:rPr>
        <w:t>O Certificado de Depósito Bancário – CDB é título de crédito nominativo, transferível e de livre negociação, representativo de promessa de pagamento, em data futura, do valor depositado junto ao emissor, acrescido da remuneração convencionada.</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31. </w:t>
      </w:r>
      <w:r w:rsidRPr="00630D78">
        <w:rPr>
          <w:rFonts w:cs="Arial"/>
          <w:szCs w:val="24"/>
        </w:rPr>
        <w:t>O Certificado de Depósito Bancário somente poderá ser emitido por instituições financeiras que captem recursos sob a modalidade de depósitos a prazo.</w:t>
      </w:r>
    </w:p>
    <w:p w:rsidR="00630D78" w:rsidRPr="00630D78" w:rsidRDefault="00630D78" w:rsidP="00630D78">
      <w:pPr>
        <w:pStyle w:val="Recuodecorpodetexto2"/>
        <w:spacing w:after="200"/>
        <w:ind w:firstLine="2302"/>
        <w:rPr>
          <w:rFonts w:cs="Arial"/>
          <w:szCs w:val="24"/>
        </w:rPr>
      </w:pPr>
      <w:bookmarkStart w:id="26" w:name="art28"/>
      <w:bookmarkEnd w:id="26"/>
      <w:r w:rsidRPr="00630D78">
        <w:rPr>
          <w:rFonts w:cs="Arial"/>
          <w:b/>
          <w:szCs w:val="24"/>
        </w:rPr>
        <w:t xml:space="preserve">Art. 32. </w:t>
      </w:r>
      <w:r w:rsidRPr="00630D78">
        <w:rPr>
          <w:rFonts w:cs="Arial"/>
          <w:szCs w:val="24"/>
        </w:rPr>
        <w:t>O Certificado de Depósito Bancário conterá os seguintes requisitos:</w:t>
      </w:r>
    </w:p>
    <w:p w:rsidR="00630D78" w:rsidRPr="00630D78" w:rsidRDefault="00630D78" w:rsidP="00630D78">
      <w:pPr>
        <w:pStyle w:val="Recuodecorpodetexto2"/>
        <w:spacing w:after="200"/>
        <w:ind w:firstLine="2302"/>
        <w:rPr>
          <w:rFonts w:cs="Arial"/>
          <w:szCs w:val="24"/>
        </w:rPr>
      </w:pPr>
      <w:r w:rsidRPr="00630D78">
        <w:rPr>
          <w:rFonts w:cs="Arial"/>
          <w:szCs w:val="24"/>
        </w:rPr>
        <w:t>I - a denominação “Certificado de Depósito Bancário”;</w:t>
      </w:r>
    </w:p>
    <w:p w:rsidR="00630D78" w:rsidRPr="00630D78" w:rsidRDefault="00630D78" w:rsidP="00630D78">
      <w:pPr>
        <w:pStyle w:val="Recuodecorpodetexto2"/>
        <w:spacing w:after="200"/>
        <w:ind w:firstLine="2302"/>
        <w:rPr>
          <w:rFonts w:cs="Arial"/>
          <w:szCs w:val="24"/>
        </w:rPr>
      </w:pPr>
      <w:r w:rsidRPr="00630D78">
        <w:rPr>
          <w:rFonts w:cs="Arial"/>
          <w:szCs w:val="24"/>
        </w:rPr>
        <w:t>II - o nome da instituição financeira emissora;</w:t>
      </w:r>
    </w:p>
    <w:p w:rsidR="00630D78" w:rsidRPr="00630D78" w:rsidRDefault="00630D78" w:rsidP="00630D78">
      <w:pPr>
        <w:pStyle w:val="Recuodecorpodetexto2"/>
        <w:spacing w:after="200"/>
        <w:ind w:firstLine="2302"/>
        <w:rPr>
          <w:rFonts w:cs="Arial"/>
          <w:szCs w:val="24"/>
        </w:rPr>
      </w:pPr>
      <w:r w:rsidRPr="00630D78">
        <w:rPr>
          <w:rFonts w:cs="Arial"/>
          <w:szCs w:val="24"/>
        </w:rPr>
        <w:t>III - o número de ordem, o local e a data de emissão;</w:t>
      </w:r>
    </w:p>
    <w:p w:rsidR="00630D78" w:rsidRPr="00630D78" w:rsidRDefault="00630D78" w:rsidP="00630D78">
      <w:pPr>
        <w:pStyle w:val="Recuodecorpodetexto2"/>
        <w:spacing w:after="200"/>
        <w:ind w:firstLine="2302"/>
        <w:rPr>
          <w:rFonts w:cs="Arial"/>
          <w:szCs w:val="24"/>
        </w:rPr>
      </w:pPr>
      <w:r w:rsidRPr="00630D78">
        <w:rPr>
          <w:rFonts w:cs="Arial"/>
          <w:szCs w:val="24"/>
        </w:rPr>
        <w:t>IV - o valor nominal;</w:t>
      </w:r>
    </w:p>
    <w:p w:rsidR="00630D78" w:rsidRPr="00630D78" w:rsidRDefault="00630D78" w:rsidP="00630D78">
      <w:pPr>
        <w:pStyle w:val="Recuodecorpodetexto2"/>
        <w:spacing w:after="200"/>
        <w:ind w:firstLine="2302"/>
        <w:rPr>
          <w:rFonts w:cs="Arial"/>
          <w:szCs w:val="24"/>
        </w:rPr>
      </w:pPr>
      <w:r w:rsidRPr="00630D78">
        <w:rPr>
          <w:rFonts w:cs="Arial"/>
          <w:szCs w:val="24"/>
        </w:rPr>
        <w:t>V - a data de vencimento;</w:t>
      </w:r>
    </w:p>
    <w:p w:rsidR="00630D78" w:rsidRPr="00630D78" w:rsidRDefault="00630D78" w:rsidP="00630D78">
      <w:pPr>
        <w:pStyle w:val="Recuodecorpodetexto2"/>
        <w:spacing w:after="200"/>
        <w:ind w:firstLine="2302"/>
        <w:rPr>
          <w:rFonts w:cs="Arial"/>
          <w:szCs w:val="24"/>
        </w:rPr>
      </w:pPr>
      <w:r w:rsidRPr="00630D78">
        <w:rPr>
          <w:rFonts w:cs="Arial"/>
          <w:szCs w:val="24"/>
        </w:rPr>
        <w:t>VI - o nome do depositante;</w:t>
      </w:r>
    </w:p>
    <w:p w:rsidR="00630D78" w:rsidRPr="00630D78" w:rsidRDefault="00630D78" w:rsidP="00630D78">
      <w:pPr>
        <w:pStyle w:val="Recuodecorpodetexto2"/>
        <w:spacing w:after="200"/>
        <w:ind w:firstLine="2302"/>
        <w:rPr>
          <w:rFonts w:cs="Arial"/>
          <w:szCs w:val="24"/>
        </w:rPr>
      </w:pPr>
      <w:r w:rsidRPr="00630D78">
        <w:rPr>
          <w:rFonts w:cs="Arial"/>
          <w:szCs w:val="24"/>
        </w:rPr>
        <w:t>VII - a taxa de juros, fixa ou flutuante, admitida a capitalização, ou outras formas de remuneração, inclusive baseadas em índices ou taxas de conhecimento público; e</w:t>
      </w:r>
    </w:p>
    <w:p w:rsidR="00630D78" w:rsidRPr="00630D78" w:rsidRDefault="00630D78" w:rsidP="00630D78">
      <w:pPr>
        <w:pStyle w:val="Recuodecorpodetexto2"/>
        <w:spacing w:after="200"/>
        <w:ind w:firstLine="2302"/>
        <w:rPr>
          <w:rFonts w:cs="Arial"/>
          <w:szCs w:val="24"/>
        </w:rPr>
      </w:pPr>
      <w:r w:rsidRPr="00630D78">
        <w:rPr>
          <w:rFonts w:cs="Arial"/>
          <w:szCs w:val="24"/>
        </w:rPr>
        <w:t>VIII - a forma, a periodicidade e o local de pagamento.</w:t>
      </w:r>
    </w:p>
    <w:p w:rsidR="00630D78" w:rsidRPr="00630D78" w:rsidRDefault="00630D78" w:rsidP="00630D78">
      <w:pPr>
        <w:pStyle w:val="Recuodecorpodetexto2"/>
        <w:spacing w:after="200"/>
        <w:ind w:firstLine="2302"/>
        <w:rPr>
          <w:rFonts w:cs="Arial"/>
          <w:szCs w:val="24"/>
        </w:rPr>
      </w:pPr>
      <w:bookmarkStart w:id="27" w:name="art29"/>
      <w:bookmarkEnd w:id="27"/>
      <w:r w:rsidRPr="00630D78">
        <w:rPr>
          <w:rFonts w:cs="Arial"/>
          <w:b/>
          <w:szCs w:val="24"/>
        </w:rPr>
        <w:t xml:space="preserve">Art. 33. </w:t>
      </w:r>
      <w:r w:rsidRPr="00630D78">
        <w:rPr>
          <w:rFonts w:cs="Arial"/>
          <w:szCs w:val="24"/>
        </w:rPr>
        <w:t>O Certificado de Depósito Bancário poderá ser emitido sob forma escritural, por meio do lançamento em sistema eletrônico do emissor.</w:t>
      </w:r>
    </w:p>
    <w:p w:rsidR="00630D78" w:rsidRPr="00630D78" w:rsidRDefault="00630D78" w:rsidP="00630D78">
      <w:pPr>
        <w:pStyle w:val="Recuodecorpodetexto2"/>
        <w:spacing w:after="200"/>
        <w:ind w:firstLine="2302"/>
        <w:rPr>
          <w:rFonts w:cs="Arial"/>
          <w:szCs w:val="24"/>
        </w:rPr>
      </w:pPr>
      <w:bookmarkStart w:id="28" w:name="art30"/>
      <w:bookmarkEnd w:id="28"/>
      <w:r w:rsidRPr="00630D78">
        <w:rPr>
          <w:rFonts w:cs="Arial"/>
          <w:b/>
          <w:szCs w:val="24"/>
        </w:rPr>
        <w:t xml:space="preserve">Art. 34. </w:t>
      </w:r>
      <w:r w:rsidRPr="00630D78">
        <w:rPr>
          <w:rFonts w:cs="Arial"/>
          <w:szCs w:val="24"/>
        </w:rPr>
        <w:t>O Certificado de Depósito Bancário poderá ser transferido por meio de endosso.</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1º Na hipótese de Certificado de Depósito Bancário emitido sob a forma escritural, o endosso de que trata o </w:t>
      </w:r>
      <w:r w:rsidRPr="00630D78">
        <w:rPr>
          <w:rFonts w:cs="Arial"/>
          <w:b/>
          <w:szCs w:val="24"/>
        </w:rPr>
        <w:t>caput</w:t>
      </w:r>
      <w:r w:rsidRPr="00630D78">
        <w:rPr>
          <w:rFonts w:cs="Arial"/>
          <w:szCs w:val="24"/>
        </w:rPr>
        <w:t xml:space="preserve"> ocorrerá exclusivamente por meio de anotação específica no sistema eletrônico da instituição emissora ou, quando tenha sido depositado em depositário central, por meio de anotação específica no sistema eletrônico correspondente.</w:t>
      </w:r>
    </w:p>
    <w:p w:rsidR="00630D78" w:rsidRPr="00630D78" w:rsidRDefault="00630D78" w:rsidP="00630D78">
      <w:pPr>
        <w:pStyle w:val="Recuodecorpodetexto2"/>
        <w:spacing w:after="200"/>
        <w:ind w:firstLine="2302"/>
        <w:rPr>
          <w:rFonts w:cs="Arial"/>
          <w:szCs w:val="24"/>
        </w:rPr>
      </w:pPr>
      <w:r w:rsidRPr="00630D78">
        <w:rPr>
          <w:rFonts w:cs="Arial"/>
          <w:szCs w:val="24"/>
        </w:rPr>
        <w:t>§ 2º O endossante do Certificado de Depósito Bancário responderá pela existência do crédito, mas não pelo seu pagamento.</w:t>
      </w:r>
    </w:p>
    <w:p w:rsidR="00630D78" w:rsidRPr="00630D78" w:rsidRDefault="00630D78" w:rsidP="00630D78">
      <w:pPr>
        <w:pStyle w:val="Recuodecorpodetexto2"/>
        <w:spacing w:after="200"/>
        <w:ind w:firstLine="2302"/>
        <w:rPr>
          <w:rFonts w:cs="Arial"/>
          <w:szCs w:val="24"/>
        </w:rPr>
      </w:pPr>
      <w:bookmarkStart w:id="29" w:name="art31"/>
      <w:bookmarkEnd w:id="29"/>
      <w:r w:rsidRPr="00630D78">
        <w:rPr>
          <w:rFonts w:cs="Arial"/>
          <w:b/>
          <w:szCs w:val="24"/>
        </w:rPr>
        <w:t>Art. 35.</w:t>
      </w:r>
      <w:r w:rsidRPr="00630D78">
        <w:rPr>
          <w:rFonts w:cs="Arial"/>
          <w:szCs w:val="24"/>
        </w:rPr>
        <w:t xml:space="preserve"> A titularidade do Certificado de Depósito Bancário emitido sob forma escritural será atribuída exclusivamente por meio do lançamento no sistema eletrônico da instituição emissora ou, quando tenha sido depositado em depositário central, por meio de controle realizado no sistema eletrônico correspondente.</w:t>
      </w:r>
    </w:p>
    <w:p w:rsidR="00630D78" w:rsidRPr="00630D78" w:rsidRDefault="00630D78" w:rsidP="00630D78">
      <w:pPr>
        <w:pStyle w:val="Recuodecorpodetexto2"/>
        <w:spacing w:after="200"/>
        <w:ind w:firstLine="2302"/>
        <w:rPr>
          <w:rFonts w:cs="Arial"/>
          <w:szCs w:val="24"/>
        </w:rPr>
      </w:pPr>
      <w:r w:rsidRPr="00630D78">
        <w:rPr>
          <w:rFonts w:cs="Arial"/>
          <w:szCs w:val="24"/>
        </w:rPr>
        <w:t>§ 1º A instituição emissora e o depositário central emitirão, mediante solicitação, certidão de inteiro teor do título.</w:t>
      </w:r>
    </w:p>
    <w:p w:rsidR="00630D78" w:rsidRPr="00630D78" w:rsidRDefault="00630D78" w:rsidP="00630D78">
      <w:pPr>
        <w:pStyle w:val="Recuodecorpodetexto2"/>
        <w:spacing w:after="200"/>
        <w:ind w:firstLine="2302"/>
        <w:rPr>
          <w:rFonts w:cs="Arial"/>
          <w:szCs w:val="24"/>
        </w:rPr>
      </w:pPr>
      <w:r w:rsidRPr="00630D78">
        <w:rPr>
          <w:rFonts w:cs="Arial"/>
          <w:szCs w:val="24"/>
        </w:rPr>
        <w:t>§ 2º A certidão de que trata o § 1º poderá ser emitida na forma eletrônica, observados os requisitos de segurança que garantam a autenticidade e a integridade do documento.</w:t>
      </w:r>
    </w:p>
    <w:p w:rsidR="00630D78" w:rsidRPr="00630D78" w:rsidRDefault="00630D78" w:rsidP="00630D78">
      <w:pPr>
        <w:pStyle w:val="Recuodecorpodetexto2"/>
        <w:spacing w:after="200"/>
        <w:ind w:firstLine="2302"/>
        <w:rPr>
          <w:rFonts w:cs="Arial"/>
          <w:szCs w:val="24"/>
        </w:rPr>
      </w:pPr>
      <w:bookmarkStart w:id="30" w:name="art32"/>
      <w:bookmarkEnd w:id="30"/>
      <w:r w:rsidRPr="00630D78">
        <w:rPr>
          <w:rFonts w:cs="Arial"/>
          <w:b/>
          <w:szCs w:val="24"/>
        </w:rPr>
        <w:t>Art. 36.</w:t>
      </w:r>
      <w:r w:rsidRPr="00630D78">
        <w:rPr>
          <w:rFonts w:cs="Arial"/>
          <w:szCs w:val="24"/>
        </w:rPr>
        <w:t xml:space="preserve"> O Certificado de Depósito Bancário é título executivo extrajudicial.</w:t>
      </w:r>
    </w:p>
    <w:p w:rsidR="00630D78" w:rsidRPr="00630D78" w:rsidRDefault="00630D78" w:rsidP="00630D78">
      <w:pPr>
        <w:pStyle w:val="Recuodecorpodetexto2"/>
        <w:spacing w:after="200"/>
        <w:ind w:firstLine="2302"/>
        <w:rPr>
          <w:rFonts w:cs="Arial"/>
          <w:szCs w:val="24"/>
        </w:rPr>
      </w:pPr>
      <w:r w:rsidRPr="00630D78">
        <w:rPr>
          <w:rFonts w:cs="Arial"/>
          <w:szCs w:val="24"/>
        </w:rPr>
        <w:t>Parágrafo único. A execução do Certificado de Depósito Bancário poderá ser promovida com base na certidão de inteiro teor de que trata o § 1º do art. 35.</w:t>
      </w:r>
    </w:p>
    <w:p w:rsidR="00630D78" w:rsidRPr="00630D78" w:rsidRDefault="00630D78" w:rsidP="00630D78">
      <w:pPr>
        <w:pStyle w:val="Recuodecorpodetexto2"/>
        <w:spacing w:after="200"/>
        <w:ind w:firstLine="2302"/>
        <w:rPr>
          <w:rFonts w:cs="Arial"/>
          <w:szCs w:val="24"/>
        </w:rPr>
      </w:pPr>
      <w:bookmarkStart w:id="31" w:name="art33"/>
      <w:bookmarkEnd w:id="31"/>
      <w:r w:rsidRPr="00630D78">
        <w:rPr>
          <w:rFonts w:cs="Arial"/>
          <w:b/>
          <w:szCs w:val="24"/>
        </w:rPr>
        <w:t xml:space="preserve">Art. 37. </w:t>
      </w:r>
      <w:r w:rsidRPr="00630D78">
        <w:rPr>
          <w:rFonts w:cs="Arial"/>
          <w:szCs w:val="24"/>
        </w:rPr>
        <w:t>O crédito contra a instituição emissora relativo ao Certificado de Depósito Bancário não poderá ser objeto de penhora, arresto, sequestro, busca ou apreensão ou outro embaraço que impeça o pagamento da importância depositada e de sua remuneração.</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Parágrafo único. Observado o disposto no </w:t>
      </w:r>
      <w:r w:rsidRPr="00630D78">
        <w:rPr>
          <w:rFonts w:cs="Arial"/>
          <w:b/>
          <w:szCs w:val="24"/>
        </w:rPr>
        <w:t>caput</w:t>
      </w:r>
      <w:r w:rsidRPr="00630D78">
        <w:rPr>
          <w:rFonts w:cs="Arial"/>
          <w:szCs w:val="24"/>
        </w:rPr>
        <w:t>, o Certificado de Depósito Bancário poderá ser penhorado por obrigação de seu titular.</w:t>
      </w:r>
    </w:p>
    <w:p w:rsidR="00630D78" w:rsidRPr="00630D78" w:rsidRDefault="00630D78" w:rsidP="00630D78">
      <w:pPr>
        <w:pStyle w:val="Recuodecorpodetexto2"/>
        <w:spacing w:after="200"/>
        <w:ind w:firstLine="2302"/>
        <w:rPr>
          <w:rFonts w:cs="Arial"/>
          <w:szCs w:val="24"/>
        </w:rPr>
      </w:pPr>
      <w:bookmarkStart w:id="32" w:name="art34"/>
      <w:bookmarkEnd w:id="32"/>
      <w:r w:rsidRPr="00630D78">
        <w:rPr>
          <w:rFonts w:cs="Arial"/>
          <w:b/>
          <w:szCs w:val="24"/>
        </w:rPr>
        <w:t xml:space="preserve">Art. 38. </w:t>
      </w:r>
      <w:r w:rsidRPr="00630D78">
        <w:rPr>
          <w:rFonts w:cs="Arial"/>
          <w:szCs w:val="24"/>
        </w:rPr>
        <w:t>Fica vedada a prorrogação do prazo de vencimento do Certificado de Depósito Bancário.</w:t>
      </w:r>
    </w:p>
    <w:p w:rsidR="00630D78" w:rsidRPr="00630D78" w:rsidRDefault="00630D78" w:rsidP="00630D78">
      <w:pPr>
        <w:pStyle w:val="Recuodecorpodetexto2"/>
        <w:spacing w:after="200"/>
        <w:ind w:firstLine="2302"/>
        <w:rPr>
          <w:rFonts w:cs="Arial"/>
          <w:szCs w:val="24"/>
        </w:rPr>
      </w:pPr>
      <w:r w:rsidRPr="00630D78">
        <w:rPr>
          <w:rFonts w:cs="Arial"/>
          <w:szCs w:val="24"/>
        </w:rPr>
        <w:t>Parágrafo único. Será admitida a renovação do Certificado de Depósito Bancário com lastro na quantia depositada na data de seu vencimento e a sua remuneração, desde que haja nova contratação.</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39. </w:t>
      </w:r>
      <w:r w:rsidRPr="00630D78">
        <w:rPr>
          <w:rFonts w:cs="Arial"/>
          <w:szCs w:val="24"/>
        </w:rPr>
        <w:t>A legislação relativa a nota promissória aplica-se ao Certificado de Depósito Bancário, exceto naquilo que contrariar o disposto nesta Lei.</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40. </w:t>
      </w:r>
      <w:r w:rsidRPr="00630D78">
        <w:rPr>
          <w:rFonts w:cs="Arial"/>
          <w:szCs w:val="24"/>
        </w:rPr>
        <w:t>Compete ao Conselho Monetário Nacional regulamentar o disposto neste Capítulo, inclusive quanto aos seguintes aspectos:</w:t>
      </w:r>
    </w:p>
    <w:p w:rsidR="00630D78" w:rsidRPr="00630D78" w:rsidRDefault="00630D78" w:rsidP="00630D78">
      <w:pPr>
        <w:pStyle w:val="Recuodecorpodetexto2"/>
        <w:spacing w:after="200"/>
        <w:ind w:firstLine="2302"/>
        <w:rPr>
          <w:rFonts w:cs="Arial"/>
          <w:szCs w:val="24"/>
        </w:rPr>
      </w:pPr>
      <w:r w:rsidRPr="00630D78">
        <w:rPr>
          <w:rFonts w:cs="Arial"/>
          <w:szCs w:val="24"/>
        </w:rPr>
        <w:t>I - condições, limites e prazos para a emissão de Certificado de Depósito Bancário;</w:t>
      </w:r>
    </w:p>
    <w:p w:rsidR="00630D78" w:rsidRPr="00630D78" w:rsidRDefault="00630D78" w:rsidP="00630D78">
      <w:pPr>
        <w:pStyle w:val="Recuodecorpodetexto2"/>
        <w:spacing w:after="200"/>
        <w:ind w:firstLine="2302"/>
        <w:rPr>
          <w:rFonts w:cs="Arial"/>
          <w:szCs w:val="24"/>
        </w:rPr>
      </w:pPr>
      <w:r w:rsidRPr="00630D78">
        <w:rPr>
          <w:rFonts w:cs="Arial"/>
          <w:szCs w:val="24"/>
        </w:rPr>
        <w:t>II - tipos de instituições autorizadas a emitir Certificado de Depósito Bancário e requisitos específicos para a sua emissão;</w:t>
      </w:r>
    </w:p>
    <w:p w:rsidR="00630D78" w:rsidRPr="00630D78" w:rsidRDefault="00630D78" w:rsidP="00630D78">
      <w:pPr>
        <w:pStyle w:val="Recuodecorpodetexto2"/>
        <w:spacing w:after="200"/>
        <w:ind w:firstLine="2302"/>
        <w:rPr>
          <w:rFonts w:cs="Arial"/>
          <w:szCs w:val="24"/>
        </w:rPr>
      </w:pPr>
      <w:r w:rsidRPr="00630D78">
        <w:rPr>
          <w:rFonts w:cs="Arial"/>
          <w:szCs w:val="24"/>
        </w:rPr>
        <w:t>III - índices, taxas ou metodologias permitidas para a remuneração do Certificado de Depósito Bancário; e</w:t>
      </w:r>
    </w:p>
    <w:p w:rsidR="00630D78" w:rsidRPr="00630D78" w:rsidRDefault="00630D78" w:rsidP="00630D78">
      <w:pPr>
        <w:pStyle w:val="Recuodecorpodetexto2"/>
        <w:spacing w:after="200"/>
        <w:ind w:firstLine="2302"/>
        <w:rPr>
          <w:rFonts w:cs="Arial"/>
          <w:szCs w:val="24"/>
        </w:rPr>
      </w:pPr>
      <w:r w:rsidRPr="00630D78">
        <w:rPr>
          <w:rFonts w:cs="Arial"/>
          <w:szCs w:val="24"/>
        </w:rPr>
        <w:t>IV - condições e prazos para resgate e vencimento do Certificado de Depósito Bancário.</w:t>
      </w:r>
    </w:p>
    <w:p w:rsidR="00630D78" w:rsidRPr="00630D78" w:rsidRDefault="00630D78" w:rsidP="00630D78">
      <w:pPr>
        <w:pStyle w:val="Recuodecorpodetexto2"/>
        <w:spacing w:after="200"/>
        <w:ind w:firstLine="2302"/>
        <w:rPr>
          <w:rFonts w:cs="Arial"/>
          <w:szCs w:val="24"/>
        </w:rPr>
      </w:pP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V</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DA SUBVENÇÃO ECONÔMICA A PRODUTORES RURAIS E A COOPERATIVAS AGROPECUÁRIAS</w:t>
      </w:r>
    </w:p>
    <w:p w:rsidR="00630D78" w:rsidRPr="00630D78" w:rsidRDefault="00630D78" w:rsidP="00630D78">
      <w:pPr>
        <w:pStyle w:val="Recuodecorpodetexto2"/>
        <w:keepNext/>
        <w:spacing w:after="200"/>
        <w:ind w:firstLine="0"/>
        <w:jc w:val="center"/>
        <w:rPr>
          <w:rFonts w:cs="Arial"/>
          <w:szCs w:val="24"/>
        </w:rPr>
      </w:pPr>
    </w:p>
    <w:p w:rsidR="00630D78" w:rsidRPr="00630D78" w:rsidRDefault="00630D78" w:rsidP="00630D78">
      <w:pPr>
        <w:pStyle w:val="Recuodecorpodetexto2"/>
        <w:keepNext/>
        <w:spacing w:after="200"/>
        <w:ind w:firstLine="2302"/>
        <w:rPr>
          <w:rFonts w:cs="Arial"/>
          <w:szCs w:val="24"/>
        </w:rPr>
      </w:pPr>
      <w:r w:rsidRPr="00630D78">
        <w:rPr>
          <w:rFonts w:cs="Arial"/>
          <w:b/>
          <w:szCs w:val="24"/>
        </w:rPr>
        <w:t xml:space="preserve">Art. 41. </w:t>
      </w:r>
      <w:r w:rsidRPr="00630D78">
        <w:rPr>
          <w:rFonts w:cs="Arial"/>
          <w:szCs w:val="24"/>
        </w:rPr>
        <w:t>A Lei nº 8.427, de 27 de maio de 1992,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1º...................................</w:t>
      </w:r>
    </w:p>
    <w:p w:rsidR="00630D78" w:rsidRPr="00630D78" w:rsidRDefault="00630D78" w:rsidP="00630D78">
      <w:pPr>
        <w:pStyle w:val="Recuodecorpodetexto2"/>
        <w:spacing w:after="200"/>
        <w:ind w:left="720" w:firstLine="0"/>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10" w:anchor="art1%C2%A71.0" w:history="1">
        <w:r w:rsidR="00630D78" w:rsidRPr="00630D78">
          <w:rPr>
            <w:rFonts w:cs="Arial"/>
            <w:szCs w:val="24"/>
          </w:rPr>
          <w:t>§ 1º</w:t>
        </w:r>
      </w:hyperlink>
      <w:r w:rsidR="00630D78" w:rsidRPr="00630D78">
        <w:rPr>
          <w:rFonts w:cs="Arial"/>
          <w:szCs w:val="24"/>
        </w:rPr>
        <w:t xml:space="preserve"> Consideram-se, igualmente, subvenção de encargos financeiros os bônus de adimplência e os rebates nos saldos devedores de financiamentos rurais concedidos, direta ou indiretamente, por instituições financeiras autorizadas a operar crédito rural.</w:t>
      </w:r>
    </w:p>
    <w:p w:rsidR="00630D78" w:rsidRPr="00630D78" w:rsidRDefault="00630D78" w:rsidP="00630D78">
      <w:pPr>
        <w:pStyle w:val="Recuodecorpodetexto2"/>
        <w:spacing w:after="200"/>
        <w:ind w:left="720" w:firstLine="0"/>
        <w:rPr>
          <w:rFonts w:cs="Arial"/>
          <w:szCs w:val="24"/>
        </w:rPr>
      </w:pPr>
      <w:r w:rsidRPr="00630D78">
        <w:rPr>
          <w:rFonts w:cs="Arial"/>
          <w:szCs w:val="24"/>
        </w:rPr>
        <w:t>................................................”(NR)</w:t>
      </w:r>
    </w:p>
    <w:p w:rsidR="00630D78" w:rsidRPr="00630D78" w:rsidRDefault="009920DB" w:rsidP="00630D78">
      <w:pPr>
        <w:pStyle w:val="Recuodecorpodetexto2"/>
        <w:spacing w:after="200"/>
        <w:ind w:left="720" w:firstLine="1548"/>
        <w:rPr>
          <w:rFonts w:cs="Arial"/>
          <w:szCs w:val="24"/>
        </w:rPr>
      </w:pPr>
      <w:hyperlink r:id="rId11" w:anchor="art1a" w:history="1">
        <w:r w:rsidR="00630D78" w:rsidRPr="00630D78">
          <w:rPr>
            <w:rFonts w:cs="Arial"/>
            <w:szCs w:val="24"/>
          </w:rPr>
          <w:t>“Art. 1º-A</w:t>
        </w:r>
      </w:hyperlink>
      <w:r w:rsidR="00630D78" w:rsidRPr="00630D78">
        <w:rPr>
          <w:rFonts w:cs="Arial"/>
          <w:szCs w:val="24"/>
        </w:rPr>
        <w:t xml:space="preserve"> Para fins do disposto nesta Lei, o Banco Central do Brasil disponibilizará à Secretaria do Tesouro Nacional da Secretaria Especial de Fazenda do Ministério da Economia informações sobre operações de crédito rural existentes nos seus bancos de dados, na forma estabelecida em ato conjunto do Banco Central do Brasil e da Secretaria do Tesouro Nacional.”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2º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VI - à concessão, em moeda nacional, de bonificação equivalente a um percentual do valor do prêmio pago na aquisição de contratos de opção privada de venda negociados em bolsas de mercadorias e futuros, nacionais ou internacionais.</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A concessão da subvenção a que se referem os incisos II a VI do </w:t>
      </w:r>
      <w:r w:rsidRPr="00630D78">
        <w:rPr>
          <w:rFonts w:cs="Arial"/>
          <w:b/>
          <w:szCs w:val="24"/>
        </w:rPr>
        <w:t>caput</w:t>
      </w:r>
      <w:r w:rsidRPr="00630D78">
        <w:rPr>
          <w:rFonts w:cs="Arial"/>
          <w:szCs w:val="24"/>
        </w:rPr>
        <w:t xml:space="preserve"> deste artigo exonera o Governo Federal da obrigação de adquirir o produto, que deverá ser comercializado pelo setor privado.</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3º-B O Conselho Monetário Nacional definirá os parâmetros e a metodologia de cálculo da subvenção ao prêmio pago na aquisição de contratos de opção privada de venda negociados em bolsas de mercadorias e futuros, de que trata o inciso VI do art. 2º.” (NR)</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hyperlink r:id="rId12" w:anchor="art4.0" w:history="1">
        <w:r w:rsidRPr="00630D78">
          <w:rPr>
            <w:rFonts w:cs="Arial"/>
            <w:szCs w:val="24"/>
          </w:rPr>
          <w:t>Art. 4º</w:t>
        </w:r>
      </w:hyperlink>
      <w:r w:rsidRPr="00630D78">
        <w:rPr>
          <w:rFonts w:cs="Arial"/>
          <w:szCs w:val="24"/>
        </w:rPr>
        <w:t xml:space="preserve"> A subvenção, sob a forma de equalização de taxas de juros, ficará limitada ao diferencial de taxas entre o custo de captação de recursos, acrescido dos custos administrativos e tributários a que estão sujeitas as instituições financeiras autorizadas a operar crédito rural nas suas operações ativas, e os encargos cobrados do tomador final do crédito rural.</w:t>
      </w:r>
    </w:p>
    <w:p w:rsidR="00630D78" w:rsidRPr="00630D78" w:rsidRDefault="00630D78" w:rsidP="00630D78">
      <w:pPr>
        <w:pStyle w:val="Recuodecorpodetexto2"/>
        <w:spacing w:after="200"/>
        <w:ind w:left="720" w:firstLine="1548"/>
        <w:rPr>
          <w:rFonts w:cs="Arial"/>
          <w:szCs w:val="24"/>
        </w:rPr>
      </w:pPr>
      <w:r w:rsidRPr="00630D78">
        <w:rPr>
          <w:rFonts w:cs="Arial"/>
          <w:szCs w:val="24"/>
        </w:rPr>
        <w:t>§ 1º Na hipótese de os encargos cobrados do tomador final do crédito rural excederem o custo de captação dos recursos acrescido dos custos administrativos e tributários, as instituições financeiras autorizadas a operar crédito rural recolherão ao Tesouro Nacional o valor apurado, atualizado pelo índice que remunera a captação dos recursos.</w:t>
      </w:r>
    </w:p>
    <w:p w:rsidR="00630D78" w:rsidRPr="00630D78" w:rsidRDefault="00630D78" w:rsidP="00630D78">
      <w:pPr>
        <w:pStyle w:val="Recuodecorpodetexto2"/>
        <w:spacing w:after="200"/>
        <w:ind w:left="720" w:firstLine="0"/>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hyperlink r:id="rId13" w:anchor="art5a." w:history="1">
        <w:r w:rsidRPr="00630D78">
          <w:rPr>
            <w:rFonts w:cs="Arial"/>
            <w:szCs w:val="24"/>
          </w:rPr>
          <w:t>Art. 5º-A</w:t>
        </w:r>
      </w:hyperlink>
      <w:r w:rsidRPr="00630D78">
        <w:rPr>
          <w:rFonts w:cs="Arial"/>
          <w:szCs w:val="24"/>
        </w:rPr>
        <w:t xml:space="preserve"> Fica o Poder Executivo federal autorizado a conceder subvenções econômicas na forma de rebates, bônus de adimplência, garantia de preços de produtos agropecuários e outros benefícios a agricultores familiares, suas associações e suas cooperativas nas operações de crédito rural contratadas, ou que vierem a ser contratadas, com as instituições financeiras autorizadas a operar crédito rural no âmbito do Programa Nacional de Fortalecimento da Agricultura Familiar – Pronaf.”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6° A aplicação irregular das subvenções de que trata esta Lei sujeitará o infrator à devolução da subvenção econômica concedida, atualizada monetariamente pela taxa média referencial do Sistema Especial de Liquidação e de Custódia (Selic) ou por outro índice que venha a substitui-la.</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Para fins do </w:t>
      </w:r>
      <w:r w:rsidRPr="00630D78">
        <w:rPr>
          <w:rFonts w:cs="Arial"/>
          <w:b/>
          <w:szCs w:val="24"/>
        </w:rPr>
        <w:t>caput</w:t>
      </w:r>
      <w:r w:rsidRPr="00630D78">
        <w:rPr>
          <w:rFonts w:cs="Arial"/>
          <w:szCs w:val="24"/>
        </w:rPr>
        <w:t>, considera-se aplicação irregular:</w:t>
      </w:r>
    </w:p>
    <w:p w:rsidR="00630D78" w:rsidRPr="00630D78" w:rsidRDefault="00630D78" w:rsidP="00630D78">
      <w:pPr>
        <w:pStyle w:val="Recuodecorpodetexto2"/>
        <w:spacing w:after="200"/>
        <w:ind w:left="720" w:firstLine="1548"/>
        <w:rPr>
          <w:rFonts w:cs="Arial"/>
          <w:szCs w:val="24"/>
        </w:rPr>
      </w:pPr>
      <w:r w:rsidRPr="00630D78">
        <w:rPr>
          <w:rFonts w:cs="Arial"/>
          <w:szCs w:val="24"/>
        </w:rPr>
        <w:t>I - a contratação, por instituição financeira, de operação de crédito rural subvencionada em finalidade diversa da prevista nesta Lei e no seu regulamento;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II - a aplicação, pelo mutuário, dos recursos do crédito rural subvencionado em finalidade diversa da prevista nesta Lei, na regulamentação aplicável ou no respectivo contrato; </w:t>
      </w:r>
    </w:p>
    <w:p w:rsidR="00630D78" w:rsidRPr="00630D78" w:rsidRDefault="00630D78" w:rsidP="00630D78">
      <w:pPr>
        <w:pStyle w:val="Recuodecorpodetexto2"/>
        <w:spacing w:after="200"/>
        <w:ind w:left="720" w:firstLine="1548"/>
        <w:rPr>
          <w:rFonts w:cs="Arial"/>
          <w:szCs w:val="24"/>
        </w:rPr>
      </w:pPr>
      <w:r w:rsidRPr="00630D78">
        <w:rPr>
          <w:rFonts w:cs="Arial"/>
          <w:szCs w:val="24"/>
        </w:rPr>
        <w:t>III - o acesso indevido, pelo mutuário, ao crédito rural subvencionado; ou</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IV – a aplicação dos recursos provenientes de subvenção de preços em desacordo com o disposto no art. 2º. </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2º A responsabilidade pela devolução da subvenção econômica, na forma de que trata o </w:t>
      </w:r>
      <w:r w:rsidRPr="00630D78">
        <w:rPr>
          <w:rFonts w:cs="Arial"/>
          <w:b/>
          <w:szCs w:val="24"/>
        </w:rPr>
        <w:t>caput</w:t>
      </w:r>
      <w:r w:rsidRPr="00630D78">
        <w:rPr>
          <w:rFonts w:cs="Arial"/>
          <w:szCs w:val="24"/>
        </w:rPr>
        <w:t>, será:</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 - da instituição financeira, na hipótese do inciso I do § 1º, sem prejuízo das penalidades previstas na Lei nº 13.506, de 13 de novembro de 2017; </w:t>
      </w:r>
    </w:p>
    <w:p w:rsidR="00630D78" w:rsidRPr="00630D78" w:rsidRDefault="00630D78" w:rsidP="00630D78">
      <w:pPr>
        <w:pStyle w:val="Recuodecorpodetexto2"/>
        <w:spacing w:after="200"/>
        <w:ind w:left="720" w:firstLine="1548"/>
        <w:rPr>
          <w:rFonts w:cs="Arial"/>
          <w:szCs w:val="24"/>
        </w:rPr>
      </w:pPr>
      <w:r w:rsidRPr="00630D78">
        <w:rPr>
          <w:rFonts w:cs="Arial"/>
          <w:szCs w:val="24"/>
        </w:rPr>
        <w:t>II - do mutuário, nas hipóteses dos incisos II e III do § 1º, sem prejuízo das penalidades previstas nos arts. 19 e 20 da Lei nº 7.492, de 16 de junho de 1986; e</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III – do beneficiário de subvenção de equalização de preços, na hipótese do inciso IV do § 1º, sem prejuízo das penalidades previstas em lei. </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3º Na hipótese do inciso I do § 1º, a instituição financeira recolherá à União, no prazo de até cinco dias a partir da comunicação pelo Banco Central do Brasil, o valor da subvenção concedida, atualizado monetariamente na forma prevista no </w:t>
      </w:r>
      <w:r w:rsidRPr="00630D78">
        <w:rPr>
          <w:rFonts w:cs="Arial"/>
          <w:b/>
          <w:szCs w:val="24"/>
        </w:rPr>
        <w:t>caput</w:t>
      </w:r>
      <w:r w:rsidRPr="00630D78">
        <w:rPr>
          <w:rFonts w:cs="Arial"/>
          <w:szCs w:val="24"/>
        </w:rPr>
        <w:t>, desde a data da concessão da subvenção ao mutuário até a data da efetiva devolução à União.</w:t>
      </w:r>
    </w:p>
    <w:p w:rsidR="00630D78" w:rsidRPr="00630D78" w:rsidRDefault="00630D78" w:rsidP="00630D78">
      <w:pPr>
        <w:pStyle w:val="Recuodecorpodetexto2"/>
        <w:spacing w:after="200"/>
        <w:ind w:left="720" w:firstLine="1548"/>
        <w:rPr>
          <w:rFonts w:cs="Arial"/>
          <w:szCs w:val="24"/>
        </w:rPr>
      </w:pPr>
      <w:r w:rsidRPr="00630D78">
        <w:rPr>
          <w:rFonts w:cs="Arial"/>
          <w:szCs w:val="24"/>
        </w:rPr>
        <w:t>§4º Nas hipóteses dos incisos II e III do § 1º, caberá à instituição financeira que concedeu o financiamento: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 - cobrar do mutuário, judicial ou extrajudicialmente, a devolução da subvenção econômica recebida, atualizada monetariamente na forma prevista no </w:t>
      </w:r>
      <w:r w:rsidRPr="00630D78">
        <w:rPr>
          <w:rFonts w:cs="Arial"/>
          <w:b/>
          <w:szCs w:val="24"/>
        </w:rPr>
        <w:t>caput</w:t>
      </w:r>
      <w:r w:rsidRPr="00630D78">
        <w:rPr>
          <w:rFonts w:cs="Arial"/>
          <w:szCs w:val="24"/>
        </w:rPr>
        <w:t xml:space="preserve">, desde a data da concessão da subvenção ao mutuário; </w:t>
      </w:r>
    </w:p>
    <w:p w:rsidR="00630D78" w:rsidRPr="00630D78" w:rsidRDefault="00630D78" w:rsidP="00630D78">
      <w:pPr>
        <w:pStyle w:val="Recuodecorpodetexto2"/>
        <w:spacing w:after="200"/>
        <w:ind w:left="720" w:firstLine="1548"/>
        <w:rPr>
          <w:rFonts w:cs="Arial"/>
          <w:szCs w:val="24"/>
        </w:rPr>
      </w:pPr>
      <w:r w:rsidRPr="00630D78">
        <w:rPr>
          <w:rFonts w:cs="Arial"/>
          <w:szCs w:val="24"/>
        </w:rPr>
        <w:t>II - repassar à União o valor recuperado no prazo de até cinco dias, a contar do efetivo recebimento do mutuário.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5º Na hipótese do inciso II do § 4º, o valor recuperado será atualizado monetariamente na forma prevista no </w:t>
      </w:r>
      <w:r w:rsidRPr="00630D78">
        <w:rPr>
          <w:rFonts w:cs="Arial"/>
          <w:b/>
          <w:szCs w:val="24"/>
        </w:rPr>
        <w:t>caput</w:t>
      </w:r>
      <w:r w:rsidRPr="00630D78">
        <w:rPr>
          <w:rFonts w:cs="Arial"/>
          <w:szCs w:val="24"/>
        </w:rPr>
        <w:t>, desde a data da concessão da subvenção ao mutuário até a data da efetiva devolução à União.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6º Os custos pela cobrança de que trata o inciso I do § 4º serão imputados ao mutuário e devidos à instituição financeira. </w:t>
      </w:r>
    </w:p>
    <w:p w:rsidR="00630D78" w:rsidRPr="00630D78" w:rsidRDefault="00630D78" w:rsidP="00630D78">
      <w:pPr>
        <w:pStyle w:val="Recuodecorpodetexto2"/>
        <w:spacing w:after="200"/>
        <w:ind w:left="720" w:firstLine="1548"/>
        <w:rPr>
          <w:rFonts w:cs="Arial"/>
          <w:szCs w:val="24"/>
        </w:rPr>
      </w:pPr>
      <w:r w:rsidRPr="00630D78">
        <w:rPr>
          <w:rFonts w:cs="Arial"/>
          <w:szCs w:val="24"/>
        </w:rPr>
        <w:t>§ 7º A instituição financeira poderá inscrever o nome do mutuário infrator em cadastros de proteção ao crédito, na hipótese de descumprimento de prazos extrajudicial ou judicial para devolução da subvenção aplicada irregularmente.”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7° O Banco Central do Brasil acompanhará e fiscalizará, nos termos do regulamento a ser editado pelo Conselho Monetário Nacional, os atos das instituições financeiras praticados com vistas a conceder a subvenção de que trata o inciso II do art. 1° desta Lei.</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Quando, no exercício de suas atribuições, entidades e órgãos da Administração Pública federal verificarem a ocorrência de qualquer das hipóteses previstas nos incisos II e III do § 1º do art. 6º, comunicarão a irregularidade ao Banco Central do Brasil. </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2º Na hipótese do § 1º, o Banco Central do Brasil informará a ocorrência à instituição financeira que concedeu o financiamento, para cumprimento do disposto no § 4º do art. 6º.” (NR) </w:t>
      </w:r>
    </w:p>
    <w:p w:rsidR="00630D78" w:rsidRPr="00630D78" w:rsidRDefault="00630D78" w:rsidP="00630D78">
      <w:pPr>
        <w:pStyle w:val="Recuodecorpodetexto2"/>
        <w:spacing w:after="200"/>
        <w:ind w:left="720" w:firstLine="1548"/>
        <w:rPr>
          <w:rFonts w:cs="Arial"/>
          <w:szCs w:val="24"/>
        </w:rPr>
      </w:pPr>
      <w:r w:rsidRPr="00630D78">
        <w:rPr>
          <w:rFonts w:cs="Arial"/>
          <w:szCs w:val="24"/>
        </w:rPr>
        <w:t>“Art. 7º-A A instituição financeira fiscalizará, nos termos de regulamento a ser expedido pelo Conselho Monetário Nacional, a aplicação pelo mutuário, na finalidade prevista nesta Lei, dos recursos do crédito rural subvencionado.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A fiscalização de que trata o </w:t>
      </w:r>
      <w:r w:rsidRPr="00630D78">
        <w:rPr>
          <w:rFonts w:cs="Arial"/>
          <w:b/>
          <w:szCs w:val="24"/>
        </w:rPr>
        <w:t>caput</w:t>
      </w:r>
      <w:r w:rsidRPr="00630D78">
        <w:rPr>
          <w:rFonts w:cs="Arial"/>
          <w:szCs w:val="24"/>
        </w:rPr>
        <w:t xml:space="preserve"> poderá ser terceirizada pela instituição financeira, nos termos de regulamento a ser editado pelo Conselho Monetário Nacional.”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7º-B A concessão de crédito rural envolvendo recursos subvencionados sob a forma de equalização de taxas está condicionada à assinatura pelo tomador de crédito, admitida a forma eletrônica, de termo de consentimento para o compartilhamento das informações com os órgãos gestores dos programas de crédito e com a Controladoria-Geral da União e o Tribunal de Contas da União.” (NR)</w:t>
      </w:r>
    </w:p>
    <w:p w:rsidR="00630D78" w:rsidRPr="00630D78" w:rsidRDefault="00630D78" w:rsidP="00630D78">
      <w:pPr>
        <w:pStyle w:val="Recuodecorpodetexto2"/>
        <w:spacing w:after="200"/>
        <w:ind w:left="720" w:firstLine="1548"/>
        <w:rPr>
          <w:rFonts w:cs="Arial"/>
          <w:szCs w:val="24"/>
        </w:rPr>
      </w:pP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VI</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DA CÉDULA DE PRODUTO RURAL</w:t>
      </w:r>
    </w:p>
    <w:p w:rsidR="00630D78" w:rsidRPr="00630D78" w:rsidRDefault="00630D78" w:rsidP="00630D78">
      <w:pPr>
        <w:pStyle w:val="Recuodecorpodetexto2"/>
        <w:keepNext/>
        <w:spacing w:after="200"/>
        <w:ind w:firstLine="0"/>
        <w:jc w:val="center"/>
        <w:rPr>
          <w:rFonts w:cs="Arial"/>
          <w:szCs w:val="24"/>
        </w:rPr>
      </w:pPr>
    </w:p>
    <w:p w:rsidR="00630D78" w:rsidRPr="00630D78" w:rsidRDefault="00630D78" w:rsidP="00630D78">
      <w:pPr>
        <w:pStyle w:val="Recuodecorpodetexto2"/>
        <w:keepNext/>
        <w:spacing w:after="200"/>
        <w:ind w:firstLine="2302"/>
        <w:rPr>
          <w:rFonts w:cs="Arial"/>
          <w:szCs w:val="24"/>
        </w:rPr>
      </w:pPr>
      <w:bookmarkStart w:id="33" w:name="art38"/>
      <w:bookmarkEnd w:id="33"/>
      <w:r w:rsidRPr="00630D78">
        <w:rPr>
          <w:rFonts w:cs="Arial"/>
          <w:b/>
          <w:szCs w:val="24"/>
        </w:rPr>
        <w:t xml:space="preserve">Art. 42. </w:t>
      </w:r>
      <w:r w:rsidRPr="00630D78">
        <w:rPr>
          <w:rFonts w:cs="Arial"/>
          <w:szCs w:val="24"/>
        </w:rPr>
        <w:t xml:space="preserve">A </w:t>
      </w:r>
      <w:hyperlink r:id="rId14" w:history="1">
        <w:r w:rsidRPr="00630D78">
          <w:rPr>
            <w:rFonts w:cs="Arial"/>
            <w:szCs w:val="24"/>
          </w:rPr>
          <w:t>Lei nº 8.929, de 22 de agosto de 1994</w:t>
        </w:r>
      </w:hyperlink>
      <w:r w:rsidRPr="00630D78">
        <w:rPr>
          <w:rFonts w:cs="Arial"/>
          <w:szCs w:val="24"/>
        </w:rPr>
        <w:t>,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1º Fica instituída a Cédula de Produto Rural (CPR), representativa de promessa de entrega de produtos rurais, com ou sem garantias cedularmente constituídas.</w:t>
      </w:r>
    </w:p>
    <w:p w:rsidR="00630D78" w:rsidRPr="00630D78" w:rsidRDefault="00630D78" w:rsidP="00630D78">
      <w:pPr>
        <w:pStyle w:val="Recuodecorpodetexto2"/>
        <w:spacing w:after="200"/>
        <w:ind w:left="720" w:firstLine="1548"/>
        <w:rPr>
          <w:rFonts w:cs="Arial"/>
          <w:szCs w:val="24"/>
        </w:rPr>
      </w:pPr>
      <w:r w:rsidRPr="00630D78">
        <w:rPr>
          <w:rFonts w:cs="Arial"/>
          <w:szCs w:val="24"/>
        </w:rPr>
        <w:t>§ 1º Fica permitida a liquidação financeira da CPR, desde que observadas as condições estipuladas nesta Lei.</w:t>
      </w:r>
    </w:p>
    <w:p w:rsidR="00630D78" w:rsidRPr="00630D78" w:rsidRDefault="00630D78" w:rsidP="00630D78">
      <w:pPr>
        <w:pStyle w:val="Recuodecorpodetexto2"/>
        <w:spacing w:after="200"/>
        <w:ind w:left="720" w:firstLine="1548"/>
        <w:rPr>
          <w:rFonts w:cs="Arial"/>
          <w:szCs w:val="24"/>
        </w:rPr>
      </w:pPr>
      <w:r w:rsidRPr="00630D78">
        <w:rPr>
          <w:rFonts w:cs="Arial"/>
          <w:szCs w:val="24"/>
        </w:rPr>
        <w:t>§2º Para os efeitos desta Lei, produtos rurais são aqueles obtidos nas atividades:</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 - agrícola, pecuária, de floresta plantada e da pesca e aquicultura, seus derivados, subprodutos e resíduos de valor econômico, inclusive quando submetidos a beneficiamento ou a primeira industrialização; </w:t>
      </w:r>
    </w:p>
    <w:p w:rsidR="00630D78" w:rsidRPr="00630D78" w:rsidRDefault="00630D78" w:rsidP="00630D78">
      <w:pPr>
        <w:pStyle w:val="Recuodecorpodetexto2"/>
        <w:spacing w:after="200"/>
        <w:ind w:left="720" w:firstLine="1548"/>
        <w:rPr>
          <w:rFonts w:cs="Arial"/>
          <w:szCs w:val="24"/>
        </w:rPr>
      </w:pPr>
      <w:r w:rsidRPr="00630D78">
        <w:rPr>
          <w:rFonts w:cs="Arial"/>
          <w:szCs w:val="24"/>
        </w:rPr>
        <w:t>II -  relacionadas à conservação de florestas nativas e dos respectivos biomas; ao manejo de florestas nativas no âmbito do programa de concessão de florestas públicas; ou outras atividades florestais que vierem a ser definidas pelo Poder Executivo como ambientalmente sustentáveis.</w:t>
      </w:r>
    </w:p>
    <w:p w:rsidR="00630D78" w:rsidRPr="00630D78" w:rsidRDefault="00630D78" w:rsidP="00630D78">
      <w:pPr>
        <w:pStyle w:val="Recuodecorpodetexto2"/>
        <w:spacing w:after="200"/>
        <w:ind w:left="720" w:firstLine="1548"/>
        <w:rPr>
          <w:rFonts w:cs="Arial"/>
          <w:szCs w:val="24"/>
        </w:rPr>
      </w:pPr>
      <w:r w:rsidRPr="00630D78">
        <w:rPr>
          <w:rFonts w:cs="Arial"/>
          <w:szCs w:val="24"/>
        </w:rPr>
        <w:t>§3º O Poder Executivo poderá regulamentar o disposto neste artigo, inclusive relacionar os produtos passíveis de emissão de CPR."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2º Têm legitimação para emitir CPR o produtor rural, pessoa natural ou jurídica, inclusive aquela com objeto social que compreenda em caráter não exclusivo a produção rural, a cooperativa agropecuária e a associação de produtores rurais que tenha por objeto a produção, a comercialização e a industrialização dos produtos rurais de que trata o art.1°.</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§1º É facultada a emissão de CPR pelas pessoas naturais ou jurídicas não elencadas no </w:t>
      </w:r>
      <w:r w:rsidRPr="00630D78">
        <w:rPr>
          <w:rFonts w:cs="Arial"/>
          <w:b/>
          <w:szCs w:val="24"/>
        </w:rPr>
        <w:t>caput</w:t>
      </w:r>
      <w:r w:rsidRPr="00630D78">
        <w:rPr>
          <w:rFonts w:cs="Arial"/>
          <w:szCs w:val="24"/>
        </w:rPr>
        <w:t xml:space="preserve"> deste artigo que exploram floresta nativa ou plantada ou que beneficiem ou promovam a primeira industrialização dos produtos rurais referidos no art.1°.</w:t>
      </w:r>
    </w:p>
    <w:p w:rsidR="00630D78" w:rsidRPr="00630D78" w:rsidRDefault="00630D78" w:rsidP="00630D78">
      <w:pPr>
        <w:pStyle w:val="Recuodecorpodetexto2"/>
        <w:spacing w:after="200"/>
        <w:ind w:left="720" w:firstLine="1548"/>
        <w:rPr>
          <w:rFonts w:cs="Arial"/>
          <w:szCs w:val="24"/>
        </w:rPr>
      </w:pPr>
      <w:r w:rsidRPr="00630D78">
        <w:rPr>
          <w:rFonts w:cs="Arial"/>
          <w:szCs w:val="24"/>
        </w:rPr>
        <w:t>§2º Sobre as CPR emitidas pelas pessoas elencadas no §1º incidirá o Imposto sobre operações de crédito, câmbio e seguro, ou relativas a títulos ou valores mobiliários, bem como não se aplica o inciso V do art. 3° da Lei n°11.033, de 21 de dezembro 2004, ou quaisquer outras isenções.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§3º O Poder Executivo poderá regulamentar o disposto neste artigo, inclusive alterando o rol dos emissores de CPR para efeito desta Lei.”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3º ..................................</w:t>
      </w:r>
    </w:p>
    <w:p w:rsidR="00630D78" w:rsidRPr="00630D78" w:rsidRDefault="00630D78" w:rsidP="00630D78">
      <w:pPr>
        <w:pStyle w:val="Recuodecorpodetexto2"/>
        <w:spacing w:after="200"/>
        <w:ind w:left="720" w:firstLine="1548"/>
        <w:rPr>
          <w:rFonts w:cs="Arial"/>
          <w:szCs w:val="24"/>
        </w:rPr>
      </w:pPr>
      <w:r w:rsidRPr="00630D78">
        <w:rPr>
          <w:rFonts w:cs="Arial"/>
          <w:szCs w:val="24"/>
        </w:rPr>
        <w:t>I – denominação “Cédula de Produto Rural” ou “Cédula de Produto Rural com Liquidação Financeira", conforme o caso;</w:t>
      </w:r>
    </w:p>
    <w:p w:rsidR="00630D78" w:rsidRPr="00630D78" w:rsidRDefault="00630D78" w:rsidP="00630D78">
      <w:pPr>
        <w:pStyle w:val="Recuodecorpodetexto2"/>
        <w:spacing w:after="200"/>
        <w:ind w:left="720" w:firstLine="1548"/>
        <w:rPr>
          <w:rFonts w:cs="Arial"/>
          <w:szCs w:val="24"/>
        </w:rPr>
      </w:pPr>
      <w:r w:rsidRPr="00630D78">
        <w:rPr>
          <w:rFonts w:cs="Arial"/>
          <w:szCs w:val="24"/>
        </w:rPr>
        <w:t>II - data da entrega ou vencimento, e, se for o caso, o cronograma de liquidação;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III – nome e qualificação do credor e cláusula à ordem;</w:t>
      </w:r>
    </w:p>
    <w:p w:rsidR="00630D78" w:rsidRPr="00630D78" w:rsidRDefault="00630D78" w:rsidP="00630D78">
      <w:pPr>
        <w:pStyle w:val="Recuodecorpodetexto2"/>
        <w:spacing w:after="200"/>
        <w:ind w:left="720" w:firstLine="1548"/>
        <w:rPr>
          <w:rFonts w:cs="Arial"/>
          <w:szCs w:val="24"/>
        </w:rPr>
      </w:pPr>
      <w:r w:rsidRPr="00630D78">
        <w:rPr>
          <w:rFonts w:cs="Arial"/>
          <w:szCs w:val="24"/>
        </w:rPr>
        <w:t>IV – promessa pura e simples de entregar o produto, sua indicação e as especificações de qualidade, de quantidade e do local onde será desenvolvido o produto rural;</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VI - descrição dos bens cedularmente vinculados em garantia com nome e qualificação dos seus proprietários, e nome e qualificação dos garantidores fidejussórios;</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VIII – nome, qualificação e assinatura do emitente e dos garantidores, que poderá ser feita de forma eletrônica;</w:t>
      </w:r>
    </w:p>
    <w:p w:rsidR="00630D78" w:rsidRPr="00630D78" w:rsidRDefault="00630D78" w:rsidP="00630D78">
      <w:pPr>
        <w:pStyle w:val="Recuodecorpodetexto2"/>
        <w:spacing w:after="200"/>
        <w:ind w:left="720" w:firstLine="1548"/>
        <w:rPr>
          <w:rFonts w:cs="Arial"/>
          <w:szCs w:val="24"/>
        </w:rPr>
      </w:pPr>
      <w:r w:rsidRPr="00630D78">
        <w:rPr>
          <w:rFonts w:cs="Arial"/>
          <w:szCs w:val="24"/>
        </w:rPr>
        <w:t>IX – forma e condição de liquidação; e</w:t>
      </w:r>
    </w:p>
    <w:p w:rsidR="00630D78" w:rsidRPr="00630D78" w:rsidRDefault="00630D78" w:rsidP="00630D78">
      <w:pPr>
        <w:pStyle w:val="Recuodecorpodetexto2"/>
        <w:spacing w:after="200"/>
        <w:ind w:left="720" w:firstLine="1548"/>
        <w:rPr>
          <w:rFonts w:cs="Arial"/>
          <w:szCs w:val="24"/>
        </w:rPr>
      </w:pPr>
      <w:r w:rsidRPr="00630D78">
        <w:rPr>
          <w:rFonts w:cs="Arial"/>
          <w:szCs w:val="24"/>
        </w:rPr>
        <w:t>X - critérios adotados para obtenção do valor de liquidação da cédula.</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Sem caráter de requisito essencial, a CPR poderá conter outras cláusulas lançadas em seu contexto, seja emitida na forma cartular ou escritural.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3º Os bens vinculados em garantia serão descritos de modo simplificado e, quando for o caso, serão identificados pela sua numeração própria e pelo número de registro ou matrícula no registro oficial competente, dispensada, no caso de imóveis, a indicação das respectivas confrontações.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§4º No caso de emissão escritural, admite-se a utilização das formas previstas na legislação específica quanto à assinatura em documentos eletrônicos, tais como senha eletrônica, biometria, código de autenticação emitido por dispositivo pessoal e intransferível, inclusive para fins de validade, eficácia e executividade.</w:t>
      </w:r>
    </w:p>
    <w:p w:rsidR="00630D78" w:rsidRPr="00630D78" w:rsidRDefault="00630D78" w:rsidP="00630D78">
      <w:pPr>
        <w:pStyle w:val="Recuodecorpodetexto2"/>
        <w:spacing w:after="200"/>
        <w:ind w:left="720" w:firstLine="1548"/>
        <w:rPr>
          <w:rFonts w:cs="Arial"/>
          <w:szCs w:val="24"/>
        </w:rPr>
      </w:pPr>
      <w:r w:rsidRPr="00630D78">
        <w:rPr>
          <w:rFonts w:cs="Arial"/>
          <w:szCs w:val="24"/>
        </w:rPr>
        <w:t>§5º A CPR poderá ser aditada, ratificada e retificada por termo aditivo que a integra, datado e assinado pelo emitente, pelo garantidor e pelo credor, com a formalização e o registro na forma do título original, conforme artigo 3º-A, fazendo-se, na cédula, menção a essa circunstância.</w:t>
      </w:r>
    </w:p>
    <w:p w:rsidR="00630D78" w:rsidRPr="00630D78" w:rsidRDefault="00630D78" w:rsidP="00630D78">
      <w:pPr>
        <w:pStyle w:val="Recuodecorpodetexto2"/>
        <w:spacing w:after="200"/>
        <w:ind w:left="720" w:firstLine="1548"/>
        <w:rPr>
          <w:rFonts w:cs="Arial"/>
          <w:szCs w:val="24"/>
        </w:rPr>
      </w:pPr>
      <w:r w:rsidRPr="00630D78">
        <w:rPr>
          <w:rFonts w:cs="Arial"/>
          <w:szCs w:val="24"/>
        </w:rPr>
        <w:t>§6º No caso da CPR com liquidação física, os procedimentos para definição da qualidade do produto obedecerão ao disposto em regulamento do Poder Executivo, quando houver.</w:t>
      </w:r>
    </w:p>
    <w:p w:rsidR="00630D78" w:rsidRPr="00630D78" w:rsidRDefault="00630D78" w:rsidP="00630D78">
      <w:pPr>
        <w:pStyle w:val="Recuodecorpodetexto2"/>
        <w:spacing w:after="200"/>
        <w:ind w:left="720" w:firstLine="1548"/>
        <w:rPr>
          <w:rFonts w:cs="Arial"/>
          <w:szCs w:val="24"/>
        </w:rPr>
      </w:pPr>
      <w:r w:rsidRPr="00630D78">
        <w:rPr>
          <w:rFonts w:cs="Arial"/>
          <w:szCs w:val="24"/>
        </w:rPr>
        <w:t>§7º O Poder Executivo poderá regulamentar o disposto neste artigo.” (NR)</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hyperlink r:id="rId15" w:anchor="art3a" w:history="1">
        <w:r w:rsidRPr="00630D78">
          <w:rPr>
            <w:rFonts w:cs="Arial"/>
            <w:szCs w:val="24"/>
          </w:rPr>
          <w:t>Art. 3º-A</w:t>
        </w:r>
      </w:hyperlink>
      <w:r w:rsidRPr="00630D78">
        <w:rPr>
          <w:rFonts w:cs="Arial"/>
          <w:szCs w:val="24"/>
        </w:rPr>
        <w:t xml:space="preserve"> A CPR poderá ser emitida sob a forma cartular ou escritural.</w:t>
      </w:r>
    </w:p>
    <w:p w:rsidR="00630D78" w:rsidRPr="00630D78" w:rsidRDefault="00630D78" w:rsidP="00630D78">
      <w:pPr>
        <w:pStyle w:val="Recuodecorpodetexto2"/>
        <w:spacing w:after="200"/>
        <w:ind w:left="720" w:firstLine="1548"/>
        <w:rPr>
          <w:rFonts w:cs="Arial"/>
          <w:szCs w:val="24"/>
        </w:rPr>
      </w:pPr>
      <w:r w:rsidRPr="00630D78">
        <w:rPr>
          <w:rFonts w:cs="Arial"/>
          <w:szCs w:val="24"/>
        </w:rPr>
        <w:t>§ 1º A emissão na forma escritural, que poderá se valer de processos eletrônicos ou digitais, será objeto de lançamento em sistema eletrônico de escrituração gerido por entidade autorizada pelo Banco Central do Brasil a exercer a atividade de escrituração.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2º A CPR emitida sob a forma cartular assumirá a forma escritural enquanto permanecer depositada em entidade autorizada pelo Banco Central do Brasil a exercer a atividade de depósito centralizado de ativos financeiros ou de valores mobiliários.</w:t>
      </w:r>
    </w:p>
    <w:p w:rsidR="00630D78" w:rsidRPr="00630D78" w:rsidRDefault="00630D78" w:rsidP="00630D78">
      <w:pPr>
        <w:pStyle w:val="Recuodecorpodetexto2"/>
        <w:spacing w:after="200"/>
        <w:ind w:left="720" w:firstLine="1548"/>
        <w:rPr>
          <w:rFonts w:cs="Arial"/>
          <w:szCs w:val="24"/>
        </w:rPr>
      </w:pPr>
      <w:r w:rsidRPr="00630D78">
        <w:rPr>
          <w:rFonts w:cs="Arial"/>
          <w:szCs w:val="24"/>
        </w:rPr>
        <w:t>§ 3º Os negócios ocorridos durante o período em que a CPR emitida sob a forma cartular estiver depositada não serão transcritos no verso do título, cabendo ao sistema referido no §1º o controle da titularidade.</w:t>
      </w:r>
    </w:p>
    <w:p w:rsidR="00630D78" w:rsidRPr="00630D78" w:rsidRDefault="00630D78" w:rsidP="00630D78">
      <w:pPr>
        <w:pStyle w:val="Recuodecorpodetexto2"/>
        <w:spacing w:after="200"/>
        <w:ind w:left="720" w:firstLine="1548"/>
        <w:rPr>
          <w:rFonts w:cs="Arial"/>
          <w:szCs w:val="24"/>
        </w:rPr>
      </w:pPr>
      <w:r w:rsidRPr="00630D78">
        <w:rPr>
          <w:rFonts w:cs="Arial"/>
          <w:szCs w:val="24"/>
        </w:rPr>
        <w:t>§ 4º A CPR será considerada ativo financeiro, para os fins de registro e de depósito em entidades autorizadas pelo Banco Central do Brasil a exercer tais atividades.”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3º-B Compete ao Banco Central do Brasil:</w:t>
      </w:r>
    </w:p>
    <w:p w:rsidR="00630D78" w:rsidRPr="00630D78" w:rsidRDefault="00630D78" w:rsidP="00630D78">
      <w:pPr>
        <w:pStyle w:val="Recuodecorpodetexto2"/>
        <w:spacing w:after="200"/>
        <w:ind w:left="720" w:firstLine="1548"/>
        <w:rPr>
          <w:rFonts w:cs="Arial"/>
          <w:szCs w:val="24"/>
        </w:rPr>
      </w:pPr>
      <w:r w:rsidRPr="00630D78">
        <w:rPr>
          <w:rFonts w:cs="Arial"/>
          <w:szCs w:val="24"/>
        </w:rPr>
        <w:t>I - estabelecer as condições para o exercício da atividade de escrituração de que trata o § 1º do art. 3º-A; e</w:t>
      </w:r>
    </w:p>
    <w:p w:rsidR="00630D78" w:rsidRPr="00630D78" w:rsidRDefault="00630D78" w:rsidP="00630D78">
      <w:pPr>
        <w:pStyle w:val="Recuodecorpodetexto2"/>
        <w:spacing w:after="200"/>
        <w:ind w:left="720" w:firstLine="1548"/>
        <w:rPr>
          <w:rFonts w:cs="Arial"/>
          <w:szCs w:val="24"/>
        </w:rPr>
      </w:pPr>
      <w:r w:rsidRPr="00630D78">
        <w:rPr>
          <w:rFonts w:cs="Arial"/>
          <w:szCs w:val="24"/>
        </w:rPr>
        <w:t>II - autorizar e supervisionar o exercício da atividade prevista no inciso I.</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A autorização de que trata o inciso II do </w:t>
      </w:r>
      <w:r w:rsidRPr="00630D78">
        <w:rPr>
          <w:rFonts w:cs="Arial"/>
          <w:b/>
          <w:szCs w:val="24"/>
        </w:rPr>
        <w:t>caput</w:t>
      </w:r>
      <w:r w:rsidRPr="00630D78">
        <w:rPr>
          <w:rFonts w:cs="Arial"/>
          <w:szCs w:val="24"/>
        </w:rPr>
        <w:t xml:space="preserve"> poderá, a critério do Banco Central do Brasil, ser concedida por segmento, por espécie ou por grupos de entidades que atendam a critérios específicos, dispensada a autorização individualizada.</w:t>
      </w:r>
    </w:p>
    <w:p w:rsidR="00630D78" w:rsidRPr="00630D78" w:rsidRDefault="00630D78" w:rsidP="00630D78">
      <w:pPr>
        <w:pStyle w:val="Recuodecorpodetexto2"/>
        <w:spacing w:after="200"/>
        <w:ind w:left="720" w:firstLine="1548"/>
        <w:rPr>
          <w:rFonts w:cs="Arial"/>
        </w:rPr>
      </w:pPr>
      <w:r w:rsidRPr="00630D78">
        <w:rPr>
          <w:rFonts w:cs="Arial"/>
          <w:szCs w:val="24"/>
        </w:rPr>
        <w:t>§ 2º A entidade de que trata o § 1º do art. 3°-A deverá expedir, mediante solicitação:</w:t>
      </w:r>
      <w:r w:rsidRPr="00630D78">
        <w:rPr>
          <w:rFonts w:cs="Arial"/>
        </w:rPr>
        <w:t xml:space="preserve"> </w:t>
      </w:r>
    </w:p>
    <w:p w:rsidR="00630D78" w:rsidRPr="00630D78" w:rsidRDefault="00630D78" w:rsidP="00630D78">
      <w:pPr>
        <w:pStyle w:val="Recuodecorpodetexto2"/>
        <w:spacing w:after="200"/>
        <w:ind w:left="720" w:firstLine="1548"/>
        <w:rPr>
          <w:rFonts w:cs="Arial"/>
          <w:szCs w:val="24"/>
        </w:rPr>
      </w:pPr>
      <w:r w:rsidRPr="00630D78">
        <w:rPr>
          <w:rFonts w:cs="Arial"/>
          <w:szCs w:val="24"/>
        </w:rPr>
        <w:t>I - certidão de inteiro teor do título, inclusive para fins de protesto, de procedimento extrajudicial ou de medida judicial, inclusive contra garantidores;</w:t>
      </w:r>
    </w:p>
    <w:p w:rsidR="00630D78" w:rsidRPr="00630D78" w:rsidRDefault="00630D78" w:rsidP="00630D78">
      <w:pPr>
        <w:pStyle w:val="Recuodecorpodetexto2"/>
        <w:spacing w:after="200"/>
        <w:ind w:left="720" w:firstLine="1548"/>
        <w:rPr>
          <w:rFonts w:cs="Arial"/>
          <w:szCs w:val="24"/>
        </w:rPr>
      </w:pPr>
      <w:r w:rsidRPr="00630D78">
        <w:rPr>
          <w:rFonts w:cs="Arial"/>
          <w:szCs w:val="24"/>
        </w:rPr>
        <w:t>II – certidão de registro de cédulas escrituradas em nome do emitente e garantidor, quando aplicável.</w:t>
      </w:r>
    </w:p>
    <w:p w:rsidR="00630D78" w:rsidRPr="00630D78" w:rsidRDefault="00630D78" w:rsidP="00630D78">
      <w:pPr>
        <w:pStyle w:val="Recuodecorpodetexto2"/>
        <w:spacing w:after="200"/>
        <w:ind w:left="720" w:firstLine="1548"/>
        <w:rPr>
          <w:rFonts w:cs="Arial"/>
          <w:szCs w:val="24"/>
        </w:rPr>
      </w:pPr>
      <w:r w:rsidRPr="00630D78">
        <w:rPr>
          <w:rFonts w:cs="Arial"/>
          <w:szCs w:val="24"/>
        </w:rPr>
        <w:t>§ 3º As certidões previstas no § 2º podem ser emitidas de forma eletrônica, observados requisitos de segurança que garantam a autenticidade e a integridade do documento, que lhe conferem liquidez, certeza e exigibilidade.” (NR)</w:t>
      </w:r>
    </w:p>
    <w:p w:rsidR="00630D78" w:rsidRPr="00630D78" w:rsidRDefault="009920DB" w:rsidP="00630D78">
      <w:pPr>
        <w:pStyle w:val="Recuodecorpodetexto2"/>
        <w:spacing w:after="200"/>
        <w:ind w:left="720" w:firstLine="1548"/>
        <w:rPr>
          <w:rFonts w:cs="Arial"/>
          <w:szCs w:val="24"/>
        </w:rPr>
      </w:pPr>
      <w:hyperlink r:id="rId16" w:anchor="art3c" w:history="1">
        <w:r w:rsidR="00630D78" w:rsidRPr="00630D78">
          <w:rPr>
            <w:rFonts w:cs="Arial"/>
            <w:szCs w:val="24"/>
          </w:rPr>
          <w:t>“Art. 3º-C</w:t>
        </w:r>
      </w:hyperlink>
      <w:r w:rsidR="00630D78" w:rsidRPr="00630D78">
        <w:rPr>
          <w:rFonts w:cs="Arial"/>
          <w:szCs w:val="24"/>
        </w:rPr>
        <w:t xml:space="preserve"> O sistema eletrônico de escrituração, de que trata o § 1º do art. 3º-A fará constar:</w:t>
      </w:r>
    </w:p>
    <w:p w:rsidR="00630D78" w:rsidRPr="00630D78" w:rsidRDefault="00630D78" w:rsidP="00630D78">
      <w:pPr>
        <w:pStyle w:val="Recuodecorpodetexto2"/>
        <w:spacing w:after="200"/>
        <w:ind w:left="720" w:firstLine="1548"/>
        <w:rPr>
          <w:rFonts w:cs="Arial"/>
          <w:szCs w:val="24"/>
        </w:rPr>
      </w:pPr>
      <w:r w:rsidRPr="00630D78">
        <w:rPr>
          <w:rFonts w:cs="Arial"/>
          <w:szCs w:val="24"/>
        </w:rPr>
        <w:t>I - os requisitos essenciais do título;</w:t>
      </w:r>
    </w:p>
    <w:p w:rsidR="00630D78" w:rsidRPr="00630D78" w:rsidRDefault="00630D78" w:rsidP="00630D78">
      <w:pPr>
        <w:pStyle w:val="Recuodecorpodetexto2"/>
        <w:spacing w:after="200"/>
        <w:ind w:left="720" w:firstLine="1548"/>
        <w:rPr>
          <w:rFonts w:cs="Arial"/>
          <w:szCs w:val="24"/>
        </w:rPr>
      </w:pPr>
      <w:r w:rsidRPr="00630D78">
        <w:rPr>
          <w:rFonts w:cs="Arial"/>
          <w:szCs w:val="24"/>
        </w:rPr>
        <w:t>II - as transferências de titularidade realizadas;</w:t>
      </w:r>
    </w:p>
    <w:p w:rsidR="00630D78" w:rsidRPr="00630D78" w:rsidRDefault="00630D78" w:rsidP="00630D78">
      <w:pPr>
        <w:pStyle w:val="Recuodecorpodetexto2"/>
        <w:spacing w:after="200"/>
        <w:ind w:left="720" w:firstLine="1548"/>
        <w:rPr>
          <w:rFonts w:cs="Arial"/>
          <w:szCs w:val="24"/>
        </w:rPr>
      </w:pPr>
      <w:r w:rsidRPr="00630D78">
        <w:rPr>
          <w:rFonts w:cs="Arial"/>
          <w:szCs w:val="24"/>
        </w:rPr>
        <w:t>III - os aditamentos, as ratificações e as retificações;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IV - a inclusão de notificações, de cláusulas contratuais e de outras informações;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V – a forma de liquidação ou de entrega ajustada no título;</w:t>
      </w:r>
    </w:p>
    <w:p w:rsidR="00630D78" w:rsidRPr="00630D78" w:rsidRDefault="00630D78" w:rsidP="00630D78">
      <w:pPr>
        <w:pStyle w:val="Recuodecorpodetexto2"/>
        <w:spacing w:after="200"/>
        <w:ind w:left="720" w:firstLine="1548"/>
        <w:rPr>
          <w:rFonts w:cs="Arial"/>
          <w:szCs w:val="24"/>
        </w:rPr>
      </w:pPr>
      <w:r w:rsidRPr="00630D78">
        <w:rPr>
          <w:rFonts w:cs="Arial"/>
          <w:szCs w:val="24"/>
        </w:rPr>
        <w:t>VI – a entrega ou pagamento em até 30 dias após suas ocorrências; e</w:t>
      </w:r>
    </w:p>
    <w:p w:rsidR="00630D78" w:rsidRPr="00630D78" w:rsidRDefault="00630D78" w:rsidP="00630D78">
      <w:pPr>
        <w:pStyle w:val="Recuodecorpodetexto2"/>
        <w:spacing w:after="200"/>
        <w:ind w:left="720" w:firstLine="1548"/>
        <w:rPr>
          <w:rFonts w:cs="Arial"/>
          <w:szCs w:val="24"/>
        </w:rPr>
      </w:pPr>
      <w:r w:rsidRPr="00630D78">
        <w:rPr>
          <w:rFonts w:cs="Arial"/>
          <w:szCs w:val="24"/>
        </w:rPr>
        <w:t>VII – as garantias do título.</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As garantias dadas na CPR, ou, ainda, a constituição de ônus e gravames sobre o título, deverão ser informados no sistema ao qual se refere o art. 3º-A, § 1º.”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3º-D A CPR poderá ser negociada, desde que registrada ou depositada em entidade autorizada pelo Banco Central do Brasil a exercer a atividade de registro ou depósito centralizado de ativos financeiros.</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A CPR será considerada ativo financeiro e a operação ficará isenta do imposto sobre operações de crédito, câmbio e seguro, ou relativas a títulos ou valores mobiliários, na hipótese de ocorrência da negociação de que trata o </w:t>
      </w:r>
      <w:r w:rsidRPr="00630D78">
        <w:rPr>
          <w:rFonts w:cs="Arial"/>
          <w:b/>
          <w:szCs w:val="24"/>
        </w:rPr>
        <w:t>caput</w:t>
      </w: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3º-E As infrações às normas legais e regulamentares que regem a atividade de escrituração eletrônica sujeitam a entidade responsável pelo sistema eletrônico de escrituração, os seus administradores e os membros de seus órgãos estatutários ou contratuais ao disposto na Lei nº 13.506, de 13 de novembro de 2017.”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4º. A CPR é título líquido e certo, exigível pela quantidade e qualidade de produto ou pelo valor nela previsto, no caso de liquidação financeira.</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A CPR admite prestação única ou parcelada, hipótese em que as condições e o cronograma de cumprimento das obrigações deverão estar previstos no título.”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4º-A. A emissão de CPR com liquidação financeira deverá observar as seguintes condições: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I - que sejam explicitados, em seu corpo, os referenciais necessários à clara identificação do preço, ou do índice de preços; da taxa de juros, fixa ou flutuante; da atualização monetária ou da variação cambial a serem utilizados no resgate do título; a instituição responsável por sua apuração ou divulgação; a praça ou o mercado de formação do preço e o nome do índice;</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1º A CPR com liquidação financeira é título líquido e certo, exigível, na data de seu vencimento, pelo resultado da multiplicação do preço praticado para o produto, por eventuais índices de preços ou de conversão de moedas apurados segundo os critérios previstos neste artigo, pela quantidade do produto especificado.</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rPr>
        <w:t>§ 3º A CPR com liquidação financeira poderá ser emitida com cláusula de correção pela variação cambial, podendo o Conselho Monetário Nacional regulamentar o assunto</w:t>
      </w: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4º-B A liquidação do pagamento em favor do legítimo credor, por qualquer meio de pagamento existente no âmbito do Sistema de Pagamentos Brasileiro, constituirá prova de pagamento total ou parcial da CPR emitida sob a forma escritural.</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A prova de pagamento de que trata o </w:t>
      </w:r>
      <w:r w:rsidRPr="00630D78">
        <w:rPr>
          <w:rFonts w:cs="Arial"/>
          <w:b/>
          <w:szCs w:val="24"/>
        </w:rPr>
        <w:t>caput</w:t>
      </w:r>
      <w:r w:rsidRPr="00630D78">
        <w:rPr>
          <w:rFonts w:cs="Arial"/>
          <w:szCs w:val="24"/>
        </w:rPr>
        <w:t xml:space="preserve"> será informada no sistema eletrônico de escrituração, de que trata o § 1º do art. 3º-A, com referência expressa à CPR amortizada ou liquidada.”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5º A CPR admite a constituição de quaisquer dos tipos de garantia previstos na legislação, devendo-se observar o contido nas normas que as disciplinam, salvo na hipótese de conflito, quando prevalecerá esta Lei.</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A informação eventualmente prestada pelo emitente sobre a essencialidade dos bens móveis e imóveis dados em garantia fiduciária a sua atividade empresarial deverá constar na cédula a partir do momento de sua emissão.”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8º ............................................................</w:t>
      </w:r>
    </w:p>
    <w:p w:rsidR="00630D78" w:rsidRPr="00630D78" w:rsidRDefault="00630D78" w:rsidP="00630D78">
      <w:pPr>
        <w:pStyle w:val="Recuodecorpodetexto2"/>
        <w:spacing w:after="200"/>
        <w:ind w:left="720" w:firstLine="1548"/>
        <w:rPr>
          <w:rFonts w:cs="Arial"/>
          <w:szCs w:val="24"/>
        </w:rPr>
      </w:pPr>
      <w:r w:rsidRPr="00630D78">
        <w:rPr>
          <w:rFonts w:cs="Arial"/>
          <w:szCs w:val="24"/>
        </w:rPr>
        <w:t>§ 1º A alienação fiduciária de produtos agropecuários e de seus subprodutos poderá recair sobre bens presentes ou futuros, fungíveis ou infungíveis, consumíveis ou não, cuja titularidade pertença ao fiduciante, devedor ou terceiro garantidor, e sujeita-se às disposições previstas no Código Civil e na legislação especial a respeito do penhor, do penhor rural e do penhor agrícola e mercantil, e ao disposto sobre a alienação fiduciária de bens infungíveis, em tudo o que não for contrário ao disposto nesta Lei.</w:t>
      </w:r>
    </w:p>
    <w:p w:rsidR="00630D78" w:rsidRPr="00630D78" w:rsidRDefault="00630D78" w:rsidP="00630D78">
      <w:pPr>
        <w:pStyle w:val="Recuodecorpodetexto2"/>
        <w:spacing w:after="200"/>
        <w:ind w:left="720" w:firstLine="1548"/>
        <w:rPr>
          <w:rFonts w:cs="Arial"/>
          <w:szCs w:val="24"/>
        </w:rPr>
      </w:pPr>
      <w:r w:rsidRPr="00630D78">
        <w:rPr>
          <w:rFonts w:cs="Arial"/>
          <w:szCs w:val="24"/>
        </w:rPr>
        <w:t>§ 2º O beneficiamento ou a transformação dos gêneros agrícolas, dados em alienação fiduciária, não extinguem o vínculo real que se transfere, automaticamente, para os produtos e subprodutos resultantes de beneficiamento ou transformação.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3º Em caso de necessidade de busca e apreensão dos bens alienados fiduciariamente aplicar-se-á o disposto nos artigos 3º e seguintes do Decreto-Lei nº 911, de 1º de outubro de 1969.”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10.................................................</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No caso de CPR emitida sob forma escritural, a transferência de titularidade da cédula produzirá os mesmos efeitos jurídicos do endosso.” (NR)</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“Art. 12. A CPR emitida a partir de 1º de janeiro de 2021, bem como seus aditamentos, </w:t>
      </w:r>
      <w:r w:rsidRPr="00630D78">
        <w:rPr>
          <w:rFonts w:cs="Arial"/>
          <w:color w:val="000000"/>
          <w:szCs w:val="24"/>
        </w:rPr>
        <w:t>para ter validade e eficácia,</w:t>
      </w:r>
      <w:r w:rsidRPr="00630D78">
        <w:rPr>
          <w:rFonts w:cs="Arial"/>
          <w:szCs w:val="24"/>
        </w:rPr>
        <w:t xml:space="preserve"> deverá ser registrada ou depositada, em até 10 (dez) dias úteis da data de emissão ou aditamento, em entidade autorizada pelo Banco Central do Brasil a exercer a atividade de registro ou de depósito centralizado de ativos financeiros ou de valores mobiliários.</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Sem prejuízo do disposto no </w:t>
      </w:r>
      <w:r w:rsidRPr="00630D78">
        <w:rPr>
          <w:rFonts w:cs="Arial"/>
          <w:b/>
          <w:szCs w:val="24"/>
        </w:rPr>
        <w:t>caput</w:t>
      </w:r>
      <w:r w:rsidRPr="00630D78">
        <w:rPr>
          <w:rFonts w:cs="Arial"/>
          <w:szCs w:val="24"/>
        </w:rPr>
        <w:t>, a hipoteca, o penhor rural e a alienação fiduciária sobre bem imóvel garantidores da CPR serão levados a registro no cartório de registro de imóveis em que estiverem localizados os bens dados em garantia.</w:t>
      </w:r>
    </w:p>
    <w:p w:rsidR="00630D78" w:rsidRPr="00630D78" w:rsidRDefault="00630D78" w:rsidP="00630D78">
      <w:pPr>
        <w:pStyle w:val="Recuodecorpodetexto2"/>
        <w:spacing w:after="200"/>
        <w:ind w:left="720" w:firstLine="1548"/>
        <w:rPr>
          <w:rFonts w:cs="Arial"/>
          <w:szCs w:val="24"/>
        </w:rPr>
      </w:pPr>
      <w:r w:rsidRPr="00630D78">
        <w:rPr>
          <w:rFonts w:cs="Arial"/>
          <w:szCs w:val="24"/>
        </w:rPr>
        <w:t>§2º A validade e eficácia da CPR não dependem de registro em cartório, que fica dispensado, mas as garantias reais a ela vinculadas ficam sujeitas, para valer contra terceiros, à averbação no cartório de registro de imóveis em que estiverem localizados os bens dados em garantia, devendo ser efetuada no prazo de três dias úteis, a contar da apresentação do título ou certidão de inteiro teor, sob pena de responsabilidade funcional do oficial encarregado de promover os atos necessários.</w:t>
      </w:r>
    </w:p>
    <w:p w:rsidR="00630D78" w:rsidRPr="00630D78" w:rsidRDefault="00630D78" w:rsidP="00630D78">
      <w:pPr>
        <w:pStyle w:val="Recuodecorpodetexto2"/>
        <w:spacing w:after="200"/>
        <w:ind w:left="720" w:firstLine="1548"/>
        <w:rPr>
          <w:rFonts w:cs="Arial"/>
          <w:szCs w:val="24"/>
        </w:rPr>
      </w:pPr>
      <w:r w:rsidRPr="00630D78">
        <w:rPr>
          <w:rFonts w:cs="Arial"/>
          <w:szCs w:val="24"/>
        </w:rPr>
        <w:t>§ 3º A cobrança de emolumentos e custas cartorárias relacionada ao registro de garantias vinculadas à CPR será regida pelas normas aplicáveis ao registro de garantias vinculadas à Cédula de Crédito Rural, de que trata o Decreto-Lei nº 167, de 14 de fevereiro de 1967.</w:t>
      </w:r>
    </w:p>
    <w:p w:rsidR="00630D78" w:rsidRPr="00630D78" w:rsidRDefault="00630D78" w:rsidP="00630D78">
      <w:pPr>
        <w:pStyle w:val="Recuodecorpodetexto2"/>
        <w:spacing w:after="200"/>
        <w:ind w:left="720" w:firstLine="1548"/>
        <w:rPr>
          <w:rFonts w:cs="Arial"/>
          <w:szCs w:val="24"/>
        </w:rPr>
      </w:pPr>
      <w:r w:rsidRPr="00630D78">
        <w:rPr>
          <w:rFonts w:cs="Arial"/>
          <w:szCs w:val="24"/>
        </w:rPr>
        <w:t>§ 4º A CPR, na hipótese de ser garantida por alienação fiduciária sobre bem móvel, será averbada no cartório de registro de títulos e documentos do domicílio do emitente.</w:t>
      </w:r>
    </w:p>
    <w:p w:rsidR="00630D78" w:rsidRPr="00630D78" w:rsidRDefault="00630D78" w:rsidP="00630D78">
      <w:pPr>
        <w:pStyle w:val="Recuodecorpodetexto2"/>
        <w:spacing w:after="200"/>
        <w:ind w:left="720" w:firstLine="1548"/>
        <w:rPr>
          <w:rFonts w:cs="Arial"/>
          <w:szCs w:val="24"/>
        </w:rPr>
      </w:pPr>
      <w:r w:rsidRPr="00630D78">
        <w:rPr>
          <w:rFonts w:cs="Arial"/>
          <w:szCs w:val="24"/>
        </w:rPr>
        <w:t>§ 5º Fica o Conselho Monetário Nacional autorizado a:</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 - estabelecer normas complementares para o cumprimento do disposto no </w:t>
      </w:r>
      <w:r w:rsidRPr="00630D78">
        <w:rPr>
          <w:rFonts w:cs="Arial"/>
          <w:b/>
          <w:szCs w:val="24"/>
        </w:rPr>
        <w:t>caput</w:t>
      </w:r>
      <w:r w:rsidRPr="00630D78">
        <w:rPr>
          <w:rFonts w:cs="Arial"/>
          <w:szCs w:val="24"/>
        </w:rPr>
        <w:t>, inclusive acerca das informações requeridas para o registro ou o depósito;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II – dispensar do registro ou do depósito de que trata o </w:t>
      </w:r>
      <w:r w:rsidRPr="00630D78">
        <w:rPr>
          <w:rFonts w:cs="Arial"/>
          <w:b/>
          <w:szCs w:val="24"/>
        </w:rPr>
        <w:t>caput,</w:t>
      </w:r>
      <w:r w:rsidRPr="00630D78">
        <w:rPr>
          <w:rFonts w:cs="Arial"/>
          <w:szCs w:val="24"/>
        </w:rPr>
        <w:t xml:space="preserve"> com base em critérios de:</w:t>
      </w:r>
    </w:p>
    <w:p w:rsidR="00630D78" w:rsidRPr="00630D78" w:rsidRDefault="00630D78" w:rsidP="00630D78">
      <w:pPr>
        <w:pStyle w:val="Recuodecorpodetexto2"/>
        <w:numPr>
          <w:ilvl w:val="0"/>
          <w:numId w:val="20"/>
        </w:numPr>
        <w:rPr>
          <w:rFonts w:cs="Arial"/>
          <w:szCs w:val="24"/>
        </w:rPr>
      </w:pPr>
      <w:r w:rsidRPr="00630D78">
        <w:rPr>
          <w:rFonts w:cs="Arial"/>
          <w:szCs w:val="24"/>
        </w:rPr>
        <w:t>valor;</w:t>
      </w:r>
    </w:p>
    <w:p w:rsidR="00630D78" w:rsidRPr="00630D78" w:rsidRDefault="00630D78" w:rsidP="00630D78">
      <w:pPr>
        <w:pStyle w:val="Recuodecorpodetexto2"/>
        <w:numPr>
          <w:ilvl w:val="0"/>
          <w:numId w:val="20"/>
        </w:numPr>
        <w:spacing w:after="200"/>
        <w:rPr>
          <w:rFonts w:cs="Arial"/>
          <w:szCs w:val="24"/>
        </w:rPr>
      </w:pPr>
      <w:r w:rsidRPr="00630D78">
        <w:rPr>
          <w:rFonts w:cs="Arial"/>
          <w:szCs w:val="24"/>
        </w:rPr>
        <w:t>forma de liquidação; e</w:t>
      </w:r>
    </w:p>
    <w:p w:rsidR="00630D78" w:rsidRPr="00630D78" w:rsidRDefault="00630D78" w:rsidP="00630D78">
      <w:pPr>
        <w:pStyle w:val="Recuodecorpodetexto2"/>
        <w:numPr>
          <w:ilvl w:val="0"/>
          <w:numId w:val="20"/>
        </w:numPr>
        <w:spacing w:after="200"/>
        <w:rPr>
          <w:rFonts w:cs="Arial"/>
          <w:szCs w:val="24"/>
        </w:rPr>
      </w:pPr>
      <w:r w:rsidRPr="00630D78">
        <w:rPr>
          <w:rFonts w:cs="Arial"/>
          <w:szCs w:val="24"/>
        </w:rPr>
        <w:t>características do emissor.</w:t>
      </w:r>
    </w:p>
    <w:p w:rsidR="00630D78" w:rsidRPr="00630D78" w:rsidRDefault="00630D78" w:rsidP="00630D78">
      <w:pPr>
        <w:pStyle w:val="Recuodecorpodetexto2"/>
        <w:spacing w:after="200"/>
        <w:ind w:left="720" w:firstLine="1548"/>
        <w:rPr>
          <w:rFonts w:cs="Arial"/>
          <w:szCs w:val="24"/>
        </w:rPr>
      </w:pPr>
      <w:r w:rsidRPr="00630D78">
        <w:rPr>
          <w:rFonts w:cs="Arial"/>
          <w:szCs w:val="24"/>
        </w:rPr>
        <w:t>§ 6º A dispensa de que trata o § 5º não se aplica à CPR emitida após 31 de dezembro de 2023.” (NR)</w:t>
      </w:r>
    </w:p>
    <w:p w:rsidR="00630D78" w:rsidRPr="00630D78" w:rsidRDefault="00630D78" w:rsidP="00630D78">
      <w:pPr>
        <w:pStyle w:val="Recuodecorpodetexto2"/>
        <w:spacing w:after="200"/>
        <w:ind w:left="720" w:firstLine="1548"/>
        <w:rPr>
          <w:rFonts w:cs="Arial"/>
          <w:szCs w:val="24"/>
        </w:rPr>
      </w:pPr>
      <w:r w:rsidRPr="00630D78" w:rsidDel="00DF5107">
        <w:rPr>
          <w:rFonts w:cs="Arial"/>
          <w:szCs w:val="24"/>
        </w:rPr>
        <w:t xml:space="preserve"> </w:t>
      </w:r>
      <w:r w:rsidRPr="00630D78">
        <w:rPr>
          <w:rFonts w:cs="Arial"/>
          <w:szCs w:val="24"/>
        </w:rPr>
        <w:t>“Art. 16. A busca e apreensão ou o leilão do bem alienado fiduciariamente, promovidos pelo credor, não elidem posterior execução, inclusive da hipoteca e do penhor constituído na mesma cédula, para satisfação do crédito remanescente.</w:t>
      </w:r>
    </w:p>
    <w:p w:rsidR="00630D78" w:rsidRPr="00630D78" w:rsidRDefault="00630D78" w:rsidP="00630D78">
      <w:pPr>
        <w:pStyle w:val="Recuodecorpodetexto2"/>
        <w:spacing w:after="200"/>
        <w:ind w:left="720" w:firstLine="1548"/>
        <w:rPr>
          <w:rFonts w:cs="Arial"/>
          <w:szCs w:val="24"/>
        </w:rPr>
      </w:pPr>
      <w:r w:rsidRPr="00630D78">
        <w:rPr>
          <w:rFonts w:cs="Arial"/>
          <w:szCs w:val="24"/>
        </w:rPr>
        <w:t>...................”(NR)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17. Pratica crime de estelionato aquele que fizer declarações falsas ou inexatas acerca de sua natureza jurídica ou qualificação, bem como, dos bens oferecidos em garantia da CPR, inclusive omitir declaração de já estarem eles sujeitos a outros ônus ou responsabilidade de qualquer espécie, até mesmo de natureza fiscal.”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18........................................................................</w:t>
      </w:r>
    </w:p>
    <w:p w:rsidR="00630D78" w:rsidRPr="00630D78" w:rsidRDefault="00630D78" w:rsidP="00630D78">
      <w:pPr>
        <w:pStyle w:val="Recuodecorpodetexto2"/>
        <w:spacing w:after="200"/>
        <w:ind w:left="720" w:firstLine="1548"/>
        <w:rPr>
          <w:rFonts w:cs="Arial"/>
          <w:szCs w:val="24"/>
        </w:rPr>
      </w:pPr>
      <w:r w:rsidRPr="00630D78">
        <w:rPr>
          <w:rFonts w:cs="Arial"/>
          <w:szCs w:val="24"/>
        </w:rPr>
        <w:t>§ 1º Os créditos e bens vinculados à CPR não se sujeitarão aos efeitos da recuperação judicial e da falência, subsistindo ao credor da cédula o direito à restituição de tais bens que se encontrarem em poder do emitente ou de qualquer terceiro.</w:t>
      </w:r>
    </w:p>
    <w:p w:rsidR="00630D78" w:rsidRPr="00630D78" w:rsidRDefault="00630D78" w:rsidP="00630D78">
      <w:pPr>
        <w:pStyle w:val="Recuodecorpodetexto2"/>
        <w:spacing w:after="200"/>
        <w:ind w:left="720" w:firstLine="1548"/>
        <w:rPr>
          <w:rFonts w:cs="Arial"/>
          <w:szCs w:val="24"/>
        </w:rPr>
      </w:pPr>
      <w:r w:rsidRPr="00630D78">
        <w:rPr>
          <w:rFonts w:cs="Arial"/>
          <w:szCs w:val="24"/>
        </w:rPr>
        <w:t>§ 2º Em nenhuma hipótese os produtos rurais objeto da CPR ou vinculados em garantia serão considerados bens de capital essenciais à atividade empresarial do emitente ou qualquer terceiro garantidor, estando ao alcance de ações judiciais e demais medidas de excussão de garantia a qualquer tempo, mesmo no caso de o emitente encontrar-se em recuperação judicial ou falência.” (NR)</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VII</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DOS TÍTULOS DO AGRONEGÓCIO</w:t>
      </w:r>
    </w:p>
    <w:p w:rsidR="00630D78" w:rsidRPr="00630D78" w:rsidRDefault="00630D78" w:rsidP="00630D78">
      <w:pPr>
        <w:pStyle w:val="Recuodecorpodetexto2"/>
        <w:keepNext/>
        <w:spacing w:after="200"/>
        <w:ind w:firstLine="0"/>
        <w:jc w:val="center"/>
        <w:rPr>
          <w:rFonts w:cs="Arial"/>
          <w:szCs w:val="24"/>
        </w:rPr>
      </w:pPr>
    </w:p>
    <w:p w:rsidR="00630D78" w:rsidRPr="00630D78" w:rsidRDefault="00630D78" w:rsidP="00630D78">
      <w:pPr>
        <w:pStyle w:val="Recuodecorpodetexto2"/>
        <w:spacing w:after="200"/>
        <w:ind w:left="720" w:firstLine="1548"/>
        <w:rPr>
          <w:rFonts w:cs="Arial"/>
          <w:szCs w:val="24"/>
        </w:rPr>
      </w:pPr>
      <w:bookmarkStart w:id="34" w:name="art39"/>
      <w:bookmarkEnd w:id="34"/>
      <w:r w:rsidRPr="00630D78">
        <w:rPr>
          <w:rFonts w:cs="Arial"/>
          <w:b/>
          <w:szCs w:val="24"/>
        </w:rPr>
        <w:t xml:space="preserve">Art. 43. </w:t>
      </w:r>
      <w:r w:rsidRPr="00630D78">
        <w:rPr>
          <w:rFonts w:cs="Arial"/>
          <w:szCs w:val="24"/>
        </w:rPr>
        <w:t xml:space="preserve">A </w:t>
      </w:r>
      <w:hyperlink r:id="rId17" w:history="1">
        <w:r w:rsidRPr="00630D78">
          <w:rPr>
            <w:rFonts w:cs="Arial"/>
            <w:szCs w:val="24"/>
          </w:rPr>
          <w:t>Lei nº 11.076, de 30 de dezembro de 2004</w:t>
        </w:r>
      </w:hyperlink>
      <w:r w:rsidRPr="00630D78">
        <w:rPr>
          <w:rFonts w:cs="Arial"/>
          <w:szCs w:val="24"/>
        </w:rPr>
        <w:t>,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hyperlink r:id="rId18" w:anchor="art3." w:history="1">
        <w:r w:rsidRPr="00630D78">
          <w:rPr>
            <w:rFonts w:cs="Arial"/>
            <w:szCs w:val="24"/>
          </w:rPr>
          <w:t>Art. 3º</w:t>
        </w:r>
      </w:hyperlink>
      <w:r w:rsidRPr="00630D78">
        <w:rPr>
          <w:rFonts w:cs="Arial"/>
          <w:szCs w:val="24"/>
        </w:rPr>
        <w:t xml:space="preserve"> O CDA e o WA poderão ser emitidos sob a forma cartular ou escritural.</w:t>
      </w:r>
    </w:p>
    <w:p w:rsidR="00630D78" w:rsidRPr="00630D78" w:rsidRDefault="00630D78" w:rsidP="00630D78">
      <w:pPr>
        <w:pStyle w:val="Recuodecorpodetexto2"/>
        <w:spacing w:after="200"/>
        <w:ind w:left="720" w:firstLine="1548"/>
        <w:rPr>
          <w:rFonts w:cs="Arial"/>
          <w:szCs w:val="24"/>
        </w:rPr>
      </w:pPr>
      <w:r w:rsidRPr="00630D78">
        <w:rPr>
          <w:rFonts w:cs="Arial"/>
          <w:szCs w:val="24"/>
        </w:rPr>
        <w:t>§ 1º A emissão na forma escritural ocorrerá por meio do lançamento em sistema eletrônico de escrituração gerido por entidade autorizada pelo Banco Central do Brasil a exercer atividade de escrituração.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2º O CDA e o WA emitidos sob a forma cartular assumirão a forma escritural enquanto permanecerem depositados em depositário central.” (NR)</w:t>
      </w:r>
    </w:p>
    <w:p w:rsidR="00630D78" w:rsidRPr="00630D78" w:rsidRDefault="009920DB" w:rsidP="00630D78">
      <w:pPr>
        <w:pStyle w:val="Recuodecorpodetexto2"/>
        <w:spacing w:after="200"/>
        <w:ind w:left="720" w:firstLine="1548"/>
        <w:rPr>
          <w:rFonts w:cs="Arial"/>
          <w:szCs w:val="24"/>
        </w:rPr>
      </w:pPr>
      <w:hyperlink r:id="rId19" w:anchor="art3a" w:history="1">
        <w:r w:rsidR="00630D78" w:rsidRPr="00630D78">
          <w:rPr>
            <w:rFonts w:cs="Arial"/>
            <w:szCs w:val="24"/>
          </w:rPr>
          <w:t>“Art. 3º-A</w:t>
        </w:r>
      </w:hyperlink>
      <w:r w:rsidR="00630D78" w:rsidRPr="00630D78">
        <w:rPr>
          <w:rFonts w:cs="Arial"/>
          <w:szCs w:val="24"/>
        </w:rPr>
        <w:t xml:space="preserve"> Compete ao Banco Central do Brasil:</w:t>
      </w:r>
    </w:p>
    <w:p w:rsidR="00630D78" w:rsidRPr="00630D78" w:rsidRDefault="00630D78" w:rsidP="00630D78">
      <w:pPr>
        <w:pStyle w:val="Recuodecorpodetexto2"/>
        <w:spacing w:after="200"/>
        <w:ind w:left="720" w:firstLine="1548"/>
        <w:rPr>
          <w:rFonts w:cs="Arial"/>
          <w:szCs w:val="24"/>
        </w:rPr>
      </w:pPr>
      <w:r w:rsidRPr="00630D78">
        <w:rPr>
          <w:rFonts w:cs="Arial"/>
          <w:szCs w:val="24"/>
        </w:rPr>
        <w:t>I - estabelecer as condições para o exercício da atividade de escrituração de que trata o § 1º do art. 3º; e</w:t>
      </w:r>
    </w:p>
    <w:p w:rsidR="00630D78" w:rsidRPr="00630D78" w:rsidRDefault="00630D78" w:rsidP="00630D78">
      <w:pPr>
        <w:pStyle w:val="Recuodecorpodetexto2"/>
        <w:spacing w:after="200"/>
        <w:ind w:left="720" w:firstLine="1548"/>
        <w:rPr>
          <w:rFonts w:cs="Arial"/>
          <w:szCs w:val="24"/>
        </w:rPr>
      </w:pPr>
      <w:r w:rsidRPr="00630D78">
        <w:rPr>
          <w:rFonts w:cs="Arial"/>
          <w:szCs w:val="24"/>
        </w:rPr>
        <w:t>II - autorizar e supervisionar o exercício da atividade prevista no inciso I.</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A autorização de que trata o inciso II do </w:t>
      </w:r>
      <w:r w:rsidRPr="00630D78">
        <w:rPr>
          <w:rFonts w:cs="Arial"/>
          <w:b/>
          <w:szCs w:val="24"/>
        </w:rPr>
        <w:t>caput</w:t>
      </w:r>
      <w:r w:rsidRPr="00630D78">
        <w:rPr>
          <w:rFonts w:cs="Arial"/>
          <w:szCs w:val="24"/>
        </w:rPr>
        <w:t xml:space="preserve"> poderá, a critério do Banco Central do Brasil, ser concedida por segmento, por espécie ou por grupos de entidades que atendam a critérios específicos, dispensada a autorização individualizada.</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2º A entidade responsável pela escrituração de que trata o inciso I do </w:t>
      </w:r>
      <w:r w:rsidRPr="00630D78">
        <w:rPr>
          <w:rFonts w:cs="Arial"/>
          <w:b/>
          <w:szCs w:val="24"/>
        </w:rPr>
        <w:t>caput</w:t>
      </w:r>
      <w:r w:rsidRPr="00630D78">
        <w:rPr>
          <w:rFonts w:cs="Arial"/>
          <w:szCs w:val="24"/>
        </w:rPr>
        <w:t xml:space="preserve"> expedirá, mediante solicitação, certidão de inteiro teor do título, inclusive para fins de protesto e de execução.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3º A certidão de que trata o § 2º poderá ser emitida na forma eletrônica, observados os requisitos de segurança que garantam a autenticidade e a integridade do documento.” (NR)</w:t>
      </w:r>
    </w:p>
    <w:p w:rsidR="00630D78" w:rsidRPr="00630D78" w:rsidRDefault="009920DB" w:rsidP="00630D78">
      <w:pPr>
        <w:pStyle w:val="Recuodecorpodetexto2"/>
        <w:spacing w:after="200"/>
        <w:ind w:left="720" w:firstLine="1548"/>
        <w:rPr>
          <w:rFonts w:cs="Arial"/>
          <w:szCs w:val="24"/>
        </w:rPr>
      </w:pPr>
      <w:hyperlink r:id="rId20" w:anchor="art3b" w:history="1">
        <w:r w:rsidR="00630D78" w:rsidRPr="00630D78">
          <w:rPr>
            <w:rFonts w:cs="Arial"/>
            <w:szCs w:val="24"/>
          </w:rPr>
          <w:t>“Art. 3º-B</w:t>
        </w:r>
      </w:hyperlink>
      <w:r w:rsidR="00630D78" w:rsidRPr="00630D78">
        <w:rPr>
          <w:rFonts w:cs="Arial"/>
          <w:szCs w:val="24"/>
        </w:rPr>
        <w:t xml:space="preserve"> A liquidação do pagamento em favor do legítimo credor, por qualquer meio de pagamento existente no âmbito do Sistema de Pagamentos Brasileiro, constituirá prova de pagamento total ou parcial do WA emitido sob a forma escritural.</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A prova de pagamento de que trata o </w:t>
      </w:r>
      <w:r w:rsidRPr="00630D78">
        <w:rPr>
          <w:rFonts w:cs="Arial"/>
          <w:b/>
          <w:szCs w:val="24"/>
        </w:rPr>
        <w:t>caput</w:t>
      </w:r>
      <w:r w:rsidRPr="00630D78">
        <w:rPr>
          <w:rFonts w:cs="Arial"/>
          <w:szCs w:val="24"/>
        </w:rPr>
        <w:t xml:space="preserve"> será informada no sistema eletrônico de escrituração de que trata o § 1º do art. 3º, com referência expressa ao WA amortizado ou liquidado.” (NR)</w:t>
      </w:r>
    </w:p>
    <w:p w:rsidR="00630D78" w:rsidRPr="00630D78" w:rsidRDefault="009920DB" w:rsidP="00630D78">
      <w:pPr>
        <w:pStyle w:val="Recuodecorpodetexto2"/>
        <w:spacing w:after="200"/>
        <w:ind w:left="720" w:firstLine="1548"/>
        <w:rPr>
          <w:rFonts w:cs="Arial"/>
          <w:szCs w:val="24"/>
        </w:rPr>
      </w:pPr>
      <w:hyperlink r:id="rId21" w:anchor="art3c" w:history="1">
        <w:r w:rsidR="00630D78" w:rsidRPr="00630D78">
          <w:rPr>
            <w:rFonts w:cs="Arial"/>
            <w:szCs w:val="24"/>
          </w:rPr>
          <w:t>“Art. 3º-C</w:t>
        </w:r>
      </w:hyperlink>
      <w:r w:rsidR="00630D78" w:rsidRPr="00630D78">
        <w:rPr>
          <w:rFonts w:cs="Arial"/>
          <w:szCs w:val="24"/>
        </w:rPr>
        <w:t xml:space="preserve"> O sistema eletrônico de escrituração, a que se refere o § 1º do art. 3º desta Lei fará constar:</w:t>
      </w:r>
    </w:p>
    <w:p w:rsidR="00630D78" w:rsidRPr="00630D78" w:rsidRDefault="00630D78" w:rsidP="00630D78">
      <w:pPr>
        <w:pStyle w:val="Recuodecorpodetexto2"/>
        <w:spacing w:after="200"/>
        <w:ind w:left="720" w:firstLine="1548"/>
        <w:rPr>
          <w:rFonts w:cs="Arial"/>
          <w:szCs w:val="24"/>
        </w:rPr>
      </w:pPr>
      <w:r w:rsidRPr="00630D78">
        <w:rPr>
          <w:rFonts w:cs="Arial"/>
          <w:szCs w:val="24"/>
        </w:rPr>
        <w:t>I - os requisitos essenciais do título;</w:t>
      </w:r>
    </w:p>
    <w:p w:rsidR="00630D78" w:rsidRPr="00630D78" w:rsidRDefault="00630D78" w:rsidP="00630D78">
      <w:pPr>
        <w:pStyle w:val="Recuodecorpodetexto2"/>
        <w:spacing w:after="200"/>
        <w:ind w:left="720" w:firstLine="1548"/>
        <w:rPr>
          <w:rFonts w:cs="Arial"/>
          <w:szCs w:val="24"/>
        </w:rPr>
      </w:pPr>
      <w:r w:rsidRPr="00630D78">
        <w:rPr>
          <w:rFonts w:cs="Arial"/>
          <w:szCs w:val="24"/>
        </w:rPr>
        <w:t>II - o endosso e a cadeia de endossos, se houver;</w:t>
      </w:r>
    </w:p>
    <w:p w:rsidR="00630D78" w:rsidRPr="00630D78" w:rsidRDefault="00630D78" w:rsidP="00630D78">
      <w:pPr>
        <w:pStyle w:val="Recuodecorpodetexto2"/>
        <w:spacing w:after="200"/>
        <w:ind w:left="720" w:firstLine="1548"/>
        <w:rPr>
          <w:rFonts w:cs="Arial"/>
          <w:szCs w:val="24"/>
        </w:rPr>
      </w:pPr>
      <w:r w:rsidRPr="00630D78">
        <w:rPr>
          <w:rFonts w:cs="Arial"/>
          <w:szCs w:val="24"/>
        </w:rPr>
        <w:t>III - os aditamentos, as ratificações e as retificações; e</w:t>
      </w:r>
    </w:p>
    <w:p w:rsidR="00630D78" w:rsidRPr="00630D78" w:rsidRDefault="00630D78" w:rsidP="00630D78">
      <w:pPr>
        <w:pStyle w:val="Recuodecorpodetexto2"/>
        <w:spacing w:after="200"/>
        <w:ind w:left="720" w:firstLine="1548"/>
        <w:rPr>
          <w:rFonts w:cs="Arial"/>
          <w:szCs w:val="24"/>
        </w:rPr>
      </w:pPr>
      <w:r w:rsidRPr="00630D78">
        <w:rPr>
          <w:rFonts w:cs="Arial"/>
          <w:szCs w:val="24"/>
        </w:rPr>
        <w:t>IV - a inclusão de notificações, de cláusulas contratuais e de outras informações.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Na hipótese de serem constituídos gravames e ônus, tal ocorrência será informada no sistema eletrônico de escrituração, de que trata o § 1º do art. 3º desta Lei.”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4º...................................</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22" w:anchor="art4iii" w:history="1">
        <w:r w:rsidR="00630D78" w:rsidRPr="00630D78">
          <w:rPr>
            <w:rFonts w:cs="Arial"/>
            <w:szCs w:val="24"/>
          </w:rPr>
          <w:t>III -</w:t>
        </w:r>
      </w:hyperlink>
      <w:r w:rsidR="00630D78" w:rsidRPr="00630D78">
        <w:rPr>
          <w:rFonts w:cs="Arial"/>
          <w:szCs w:val="24"/>
        </w:rPr>
        <w:t xml:space="preserve"> entidade registradora autorizada: entidade autorizada pelo Banco Central do Brasil ou pela Comissão de Valores Mobiliários, no âmbito de suas competências, a exercer a atividade de registro de ativos financeiros e de valores mobiliários de que trata a </w:t>
      </w:r>
      <w:hyperlink r:id="rId23" w:history="1">
        <w:r w:rsidR="00630D78" w:rsidRPr="00630D78">
          <w:rPr>
            <w:rFonts w:cs="Arial"/>
            <w:szCs w:val="24"/>
          </w:rPr>
          <w:t>Lei nº 12.810, de 15 de maio de 2013</w:t>
        </w:r>
      </w:hyperlink>
      <w:r w:rsidR="00630D78"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IV - depositário central: entidade autorizada pelo Banco Central do Brasil ou pela Comissão de Valores Mobiliários, no âmbito de suas competências, a exercer a atividade de depósito centralizado de ativos financeiros e de valores mobiliários de que trata a </w:t>
      </w:r>
      <w:hyperlink r:id="rId24" w:history="1">
        <w:r w:rsidRPr="00630D78">
          <w:rPr>
            <w:rFonts w:cs="Arial"/>
            <w:szCs w:val="24"/>
          </w:rPr>
          <w:t>Lei nº 12.810, de 15 de maio de 2013</w:t>
        </w:r>
      </w:hyperlink>
      <w:r w:rsidRPr="00630D78">
        <w:rPr>
          <w:rFonts w:cs="Arial"/>
          <w:szCs w:val="24"/>
        </w:rPr>
        <w:t>; e</w:t>
      </w:r>
    </w:p>
    <w:p w:rsidR="00630D78" w:rsidRPr="00630D78" w:rsidRDefault="00630D78" w:rsidP="00630D78">
      <w:pPr>
        <w:pStyle w:val="Recuodecorpodetexto2"/>
        <w:spacing w:after="200"/>
        <w:ind w:left="720" w:firstLine="1548"/>
        <w:rPr>
          <w:rFonts w:cs="Arial"/>
          <w:szCs w:val="24"/>
        </w:rPr>
      </w:pPr>
      <w:r w:rsidRPr="00630D78">
        <w:rPr>
          <w:rFonts w:cs="Arial"/>
          <w:szCs w:val="24"/>
        </w:rPr>
        <w:t>V - produtos agropecuários: produtos agropecuários, seus derivados, subprodutos e resíduos de valor econômico de que trata a </w:t>
      </w:r>
      <w:hyperlink r:id="rId25" w:history="1">
        <w:r w:rsidRPr="00630D78">
          <w:rPr>
            <w:rFonts w:cs="Arial"/>
            <w:szCs w:val="24"/>
          </w:rPr>
          <w:t>Lei nº 9.973, de 29 de maio de 2000</w:t>
        </w:r>
      </w:hyperlink>
      <w:r w:rsidRPr="00630D78">
        <w:rPr>
          <w:rFonts w:cs="Arial"/>
          <w:szCs w:val="24"/>
        </w:rPr>
        <w:t>.” (NR)</w:t>
      </w:r>
    </w:p>
    <w:p w:rsidR="00630D78" w:rsidRPr="00630D78" w:rsidRDefault="00630D78" w:rsidP="00630D78">
      <w:pPr>
        <w:pStyle w:val="Recuodecorpodetexto2"/>
        <w:keepNext/>
        <w:spacing w:after="200"/>
        <w:ind w:left="851" w:firstLine="0"/>
        <w:jc w:val="center"/>
        <w:rPr>
          <w:rFonts w:cs="Arial"/>
          <w:b/>
          <w:szCs w:val="24"/>
        </w:rPr>
      </w:pPr>
      <w:r w:rsidRPr="00630D78">
        <w:rPr>
          <w:rFonts w:cs="Arial"/>
          <w:b/>
          <w:szCs w:val="24"/>
        </w:rPr>
        <w:t>“Seção II</w:t>
      </w:r>
    </w:p>
    <w:p w:rsidR="00630D78" w:rsidRPr="00630D78" w:rsidRDefault="00630D78" w:rsidP="00630D78">
      <w:pPr>
        <w:pStyle w:val="Recuodecorpodetexto2"/>
        <w:keepNext/>
        <w:spacing w:after="200"/>
        <w:ind w:left="567" w:firstLine="0"/>
        <w:jc w:val="center"/>
        <w:rPr>
          <w:rFonts w:cs="Arial"/>
          <w:b/>
          <w:szCs w:val="24"/>
        </w:rPr>
      </w:pPr>
      <w:r w:rsidRPr="00630D78">
        <w:rPr>
          <w:rFonts w:cs="Arial"/>
          <w:b/>
          <w:szCs w:val="24"/>
        </w:rPr>
        <w:t>Da emissão, do depósito centralizado e da circulação dos títulos” (NR)</w:t>
      </w:r>
    </w:p>
    <w:p w:rsidR="00630D78" w:rsidRPr="00630D78" w:rsidRDefault="00630D78" w:rsidP="00630D78">
      <w:pPr>
        <w:pStyle w:val="Recuodecorpodetexto2"/>
        <w:keepNext/>
        <w:spacing w:after="200"/>
        <w:ind w:left="720" w:firstLine="1548"/>
        <w:rPr>
          <w:rFonts w:cs="Arial"/>
          <w:szCs w:val="24"/>
        </w:rPr>
      </w:pPr>
      <w:r w:rsidRPr="00630D78">
        <w:rPr>
          <w:rFonts w:cs="Arial"/>
          <w:szCs w:val="24"/>
        </w:rPr>
        <w:t>........................................................................</w:t>
      </w:r>
    </w:p>
    <w:p w:rsidR="00630D78" w:rsidRPr="00630D78" w:rsidRDefault="00630D78" w:rsidP="00630D78">
      <w:pPr>
        <w:pStyle w:val="Recuodecorpodetexto2"/>
        <w:keepNext/>
        <w:spacing w:after="200"/>
        <w:ind w:left="720" w:firstLine="1548"/>
        <w:rPr>
          <w:rFonts w:cs="Arial"/>
          <w:szCs w:val="24"/>
        </w:rPr>
      </w:pPr>
      <w:r w:rsidRPr="00630D78">
        <w:rPr>
          <w:rFonts w:cs="Arial"/>
          <w:szCs w:val="24"/>
        </w:rPr>
        <w:t>“Art. 6º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2º Os documentos mencionados no § 1º serão arquivados pelo depositário junto com as suas respectivas vias do CDA e do WA.</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8º O CDA e o WA, quando emitidos sob a forma cartular, o serão em, no mínimo, 2 (duas) vias, com as seguintes destinações: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9º ..................................</w:t>
      </w:r>
    </w:p>
    <w:p w:rsidR="00630D78" w:rsidRPr="00630D78" w:rsidRDefault="009920DB" w:rsidP="00630D78">
      <w:pPr>
        <w:pStyle w:val="Recuodecorpodetexto2"/>
        <w:spacing w:after="200"/>
        <w:ind w:left="720" w:firstLine="1548"/>
        <w:rPr>
          <w:rFonts w:cs="Arial"/>
          <w:szCs w:val="24"/>
        </w:rPr>
      </w:pPr>
      <w:hyperlink r:id="rId26" w:anchor="art9%C2%A71" w:history="1">
        <w:r w:rsidR="00630D78" w:rsidRPr="00630D78">
          <w:rPr>
            <w:rFonts w:cs="Arial"/>
            <w:szCs w:val="24"/>
          </w:rPr>
          <w:t>§ 1º</w:t>
        </w:r>
      </w:hyperlink>
      <w:r w:rsidR="00630D78" w:rsidRPr="00630D78">
        <w:rPr>
          <w:rFonts w:cs="Arial"/>
          <w:szCs w:val="24"/>
        </w:rPr>
        <w:t xml:space="preserve"> O emitente é responsável pela existência, liquidez, certeza e exigibilidade dos direitos indicados no CDA e no WA.</w:t>
      </w:r>
    </w:p>
    <w:p w:rsidR="00630D78" w:rsidRPr="00630D78" w:rsidRDefault="00630D78" w:rsidP="00630D78">
      <w:pPr>
        <w:pStyle w:val="Recuodecorpodetexto2"/>
        <w:spacing w:after="200"/>
        <w:ind w:left="720" w:firstLine="1548"/>
        <w:rPr>
          <w:rFonts w:cs="Arial"/>
          <w:szCs w:val="24"/>
        </w:rPr>
      </w:pPr>
      <w:r w:rsidRPr="00630D78">
        <w:rPr>
          <w:rFonts w:cs="Arial"/>
          <w:szCs w:val="24"/>
        </w:rPr>
        <w:t>§ 2º Fica vedado ao emitente opor ao terceiro titular do CDA ou do WA as exceções pessoais oponíveis ao depositante.” (NR)</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“Art. 12. ................................. </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Na hipótese de o titular do CDA e do correspondente WA diferir do depositante, o produto objeto desses títulos não poderá ser confundido com bem de propriedade do depositante ou se sujeitar aos efeitos de sua recuperação judicial ou falência, prevalecendo os direitos de propriedade sobre a coisa ao endossatário final que se apresentar ao depositário, nos termos dos arts. 6º, §1º, II, e 21, §5º, desta Lei.”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13. ................................</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As prorrogações serão anotadas nas segundas vias em poder do depositário do produto agropecuário e eletronicamente nos registros do depositário central.” (NR)</w:t>
      </w:r>
    </w:p>
    <w:p w:rsidR="00630D78" w:rsidRPr="00630D78" w:rsidRDefault="00630D78" w:rsidP="00630D78">
      <w:pPr>
        <w:pStyle w:val="Recuodecorpodetexto2"/>
        <w:spacing w:after="200"/>
        <w:ind w:left="720" w:hanging="11"/>
        <w:jc w:val="center"/>
        <w:rPr>
          <w:rFonts w:cs="Arial"/>
          <w:b/>
          <w:szCs w:val="24"/>
        </w:rPr>
      </w:pPr>
      <w:r w:rsidRPr="00630D78">
        <w:rPr>
          <w:rFonts w:cs="Arial"/>
          <w:b/>
          <w:szCs w:val="24"/>
        </w:rPr>
        <w:t>“Subseção II</w:t>
      </w:r>
    </w:p>
    <w:p w:rsidR="00630D78" w:rsidRPr="00630D78" w:rsidRDefault="00630D78" w:rsidP="00630D78">
      <w:pPr>
        <w:pStyle w:val="Recuodecorpodetexto2"/>
        <w:spacing w:after="200"/>
        <w:ind w:left="720" w:hanging="11"/>
        <w:jc w:val="center"/>
        <w:rPr>
          <w:rFonts w:cs="Arial"/>
          <w:b/>
          <w:szCs w:val="24"/>
        </w:rPr>
      </w:pPr>
      <w:r w:rsidRPr="00630D78">
        <w:rPr>
          <w:rFonts w:cs="Arial"/>
          <w:b/>
          <w:szCs w:val="24"/>
        </w:rPr>
        <w:t>Do depósito centralizado” (NR)</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hyperlink r:id="rId27" w:anchor="art15.0" w:history="1">
        <w:r w:rsidRPr="00630D78">
          <w:rPr>
            <w:rFonts w:cs="Arial"/>
            <w:szCs w:val="24"/>
          </w:rPr>
          <w:t>Art. 15</w:t>
        </w:r>
      </w:hyperlink>
      <w:r w:rsidRPr="00630D78">
        <w:rPr>
          <w:rFonts w:cs="Arial"/>
          <w:szCs w:val="24"/>
        </w:rPr>
        <w:t xml:space="preserve">. É obrigatório o depósito do CDA e do WA em depositário central autorizado pelo Banco Central do Brasil, no prazo de trinta dias, contado da data de emissão dos títulos, do qual constará o número de controle do título de que trata o inciso II do </w:t>
      </w:r>
      <w:r w:rsidRPr="00630D78">
        <w:rPr>
          <w:rFonts w:cs="Arial"/>
          <w:b/>
          <w:szCs w:val="24"/>
        </w:rPr>
        <w:t>caput</w:t>
      </w:r>
      <w:r w:rsidRPr="00630D78">
        <w:rPr>
          <w:rFonts w:cs="Arial"/>
          <w:szCs w:val="24"/>
        </w:rPr>
        <w:t xml:space="preserve"> do art. 5º.</w:t>
      </w:r>
    </w:p>
    <w:p w:rsidR="00630D78" w:rsidRPr="00630D78" w:rsidRDefault="00630D78" w:rsidP="00630D78">
      <w:pPr>
        <w:pStyle w:val="Recuodecorpodetexto2"/>
        <w:spacing w:after="200"/>
        <w:ind w:left="720" w:firstLine="1548"/>
        <w:rPr>
          <w:rFonts w:cs="Arial"/>
          <w:szCs w:val="24"/>
        </w:rPr>
      </w:pPr>
      <w:r w:rsidRPr="00630D78">
        <w:rPr>
          <w:rFonts w:cs="Arial"/>
          <w:szCs w:val="24"/>
        </w:rPr>
        <w:t>§ 1º O depósito de CDA e de WA emitidos sob a forma cartular em depositário central será precedido da entrega dos títulos à custódia de instituição legalmente autorizada para esse fim, por meio de endosso-mandato.</w:t>
      </w:r>
    </w:p>
    <w:p w:rsidR="00630D78" w:rsidRPr="00630D78" w:rsidRDefault="00630D78" w:rsidP="00630D78">
      <w:pPr>
        <w:pStyle w:val="Recuodecorpodetexto2"/>
        <w:spacing w:after="200"/>
        <w:ind w:left="720" w:firstLine="1548"/>
        <w:rPr>
          <w:rFonts w:cs="Arial"/>
          <w:szCs w:val="24"/>
        </w:rPr>
      </w:pPr>
      <w:r w:rsidRPr="00630D78">
        <w:rPr>
          <w:rFonts w:cs="Arial"/>
          <w:szCs w:val="24"/>
        </w:rPr>
        <w:t>§ 2º A instituição custodiante é responsável por efetuar o endosso do CDA e do WA ao credor quando da baixa do depósito no depositário central.</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4º O Conselho Monetário Nacional poderá estabelecer outras condições para o depósito do CDA e do WA de que trata este artigo.” (NR)</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hyperlink r:id="rId28" w:anchor="art17." w:history="1">
        <w:r w:rsidRPr="00630D78">
          <w:rPr>
            <w:rFonts w:cs="Arial"/>
            <w:szCs w:val="24"/>
          </w:rPr>
          <w:t>Art. 17.</w:t>
        </w:r>
      </w:hyperlink>
      <w:r w:rsidRPr="00630D78">
        <w:rPr>
          <w:rFonts w:cs="Arial"/>
          <w:szCs w:val="24"/>
        </w:rPr>
        <w:t xml:space="preserve"> Quando da primeira negociação do WA separado do CDA, o depositário central consignará em seus registros o valor da negociação do WA, a taxa de juros e a data de vencimento ou, ainda, o valor a ser pago no vencimento ou o indicador que será utilizado para o cálculo do valor da dívida.</w:t>
      </w:r>
    </w:p>
    <w:p w:rsidR="00630D78" w:rsidRPr="00630D78" w:rsidRDefault="00630D78" w:rsidP="00630D78">
      <w:pPr>
        <w:pStyle w:val="Recuodecorpodetexto2"/>
        <w:spacing w:after="200"/>
        <w:ind w:left="720" w:firstLine="1548"/>
        <w:rPr>
          <w:rFonts w:cs="Arial"/>
          <w:szCs w:val="24"/>
        </w:rPr>
      </w:pPr>
      <w:r w:rsidRPr="00630D78">
        <w:rPr>
          <w:rFonts w:cs="Arial"/>
          <w:szCs w:val="24"/>
        </w:rPr>
        <w:t>§ 1º Os lançamentos dos negócios realizados com o CDA e com o WA, unidos ou separados, serão atualizados em meio eletrônico pelo depositário central.</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hyperlink r:id="rId29" w:anchor="art19." w:history="1">
        <w:r w:rsidRPr="00630D78">
          <w:rPr>
            <w:rFonts w:cs="Arial"/>
            <w:szCs w:val="24"/>
          </w:rPr>
          <w:t>Art. 19.</w:t>
        </w:r>
      </w:hyperlink>
      <w:r w:rsidRPr="00630D78">
        <w:rPr>
          <w:rFonts w:cs="Arial"/>
          <w:szCs w:val="24"/>
        </w:rPr>
        <w:t xml:space="preserve"> Os negócios ocorridos durante o período em que o CDA e o WA emitidos sob a forma cartular estiverem depositados em depositário central não serão transcritos no verso dos títulos.” (NR)</w:t>
      </w:r>
    </w:p>
    <w:p w:rsidR="00630D78" w:rsidRPr="00630D78" w:rsidRDefault="00630D78" w:rsidP="00630D78">
      <w:pPr>
        <w:pStyle w:val="Recuodecorpodetexto2"/>
        <w:tabs>
          <w:tab w:val="left" w:pos="6229"/>
        </w:tabs>
        <w:spacing w:after="200"/>
        <w:ind w:left="720" w:firstLine="1548"/>
        <w:rPr>
          <w:rFonts w:cs="Arial"/>
          <w:szCs w:val="24"/>
        </w:rPr>
      </w:pPr>
      <w:r w:rsidRPr="00630D78">
        <w:rPr>
          <w:rFonts w:cs="Arial"/>
          <w:szCs w:val="24"/>
        </w:rPr>
        <w:t>“Art. 22. Para emissão de CDA e WA, o seguro obrigatório de que trata o art. 6º, § 6º, da Lei nº 9.973, de 29 de maio de 2000, deverá ter cobertura contra incêndio, raio, explosão de qualquer natureza, danos elétricos, vendaval, alagamento, inundação, furacão, ciclone, tornado, granizo, quedas de aeronaves, impacto de veículos terrestres e fumaça.</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tabs>
          <w:tab w:val="left" w:pos="6229"/>
        </w:tabs>
        <w:spacing w:after="200"/>
        <w:ind w:left="720" w:firstLine="1548"/>
        <w:rPr>
          <w:rFonts w:cs="Arial"/>
          <w:szCs w:val="24"/>
        </w:rPr>
      </w:pPr>
      <w:r w:rsidRPr="00630D78">
        <w:rPr>
          <w:rFonts w:cs="Arial"/>
          <w:szCs w:val="24"/>
        </w:rPr>
        <w:t>“Art. 23. ..............................................................</w:t>
      </w:r>
    </w:p>
    <w:p w:rsidR="00630D78" w:rsidRPr="00630D78" w:rsidRDefault="00630D78" w:rsidP="00630D78">
      <w:pPr>
        <w:pStyle w:val="Recuodecorpodetexto2"/>
        <w:tabs>
          <w:tab w:val="left" w:pos="6229"/>
        </w:tabs>
        <w:spacing w:after="200"/>
        <w:ind w:left="720" w:firstLine="1548"/>
        <w:rPr>
          <w:rFonts w:cs="Arial"/>
          <w:szCs w:val="24"/>
        </w:rPr>
      </w:pPr>
      <w:r w:rsidRPr="00630D78">
        <w:rPr>
          <w:rFonts w:cs="Arial"/>
          <w:szCs w:val="24"/>
        </w:rPr>
        <w:t>.......................................................</w:t>
      </w:r>
    </w:p>
    <w:p w:rsidR="00630D78" w:rsidRPr="00630D78" w:rsidRDefault="00630D78" w:rsidP="00630D78">
      <w:pPr>
        <w:pStyle w:val="Recuodecorpodetexto2"/>
        <w:tabs>
          <w:tab w:val="left" w:pos="6229"/>
        </w:tabs>
        <w:spacing w:after="200"/>
        <w:ind w:left="720" w:firstLine="1548"/>
        <w:rPr>
          <w:rFonts w:cs="Arial"/>
          <w:szCs w:val="24"/>
        </w:rPr>
      </w:pPr>
      <w:r w:rsidRPr="00630D78">
        <w:rPr>
          <w:rFonts w:cs="Arial"/>
          <w:szCs w:val="24"/>
        </w:rPr>
        <w:t>§ 3º Os títulos de crédito de que trata este artigo poderão ser emitidos com cláusula de correção pela variação cambial desde que integralmente vinculado a direitos creditórios com cláusula de correção na mesma moeda.</w:t>
      </w:r>
    </w:p>
    <w:p w:rsidR="00630D78" w:rsidRPr="00630D78" w:rsidRDefault="00630D78" w:rsidP="00630D78">
      <w:pPr>
        <w:pStyle w:val="Recuodecorpodetexto2"/>
        <w:spacing w:after="200"/>
        <w:ind w:left="720" w:firstLine="1548"/>
        <w:rPr>
          <w:rFonts w:cs="Arial"/>
          <w:szCs w:val="24"/>
        </w:rPr>
      </w:pPr>
      <w:r w:rsidRPr="00630D78">
        <w:rPr>
          <w:rFonts w:cs="Arial"/>
          <w:szCs w:val="24"/>
        </w:rPr>
        <w:t>§ 4º O Conselho Monetário Nacional poderá dispor acerca da emissão dos títulos de crédito de que trata este artigo com cláusula de correção pela variação cambial.” (NR)</w:t>
      </w:r>
      <w:r w:rsidRPr="00630D78" w:rsidDel="008563D8">
        <w:rPr>
          <w:rFonts w:cs="Arial"/>
          <w:szCs w:val="24"/>
        </w:rPr>
        <w:t xml:space="preserve"> </w:t>
      </w:r>
      <w:r w:rsidRPr="00630D78" w:rsidDel="00201E1E">
        <w:rPr>
          <w:rFonts w:cs="Arial"/>
          <w:szCs w:val="24"/>
        </w:rPr>
        <w:t xml:space="preserve"> </w:t>
      </w:r>
    </w:p>
    <w:p w:rsidR="00630D78" w:rsidRPr="00630D78" w:rsidRDefault="00630D78" w:rsidP="00630D78">
      <w:pPr>
        <w:pStyle w:val="Recuodecorpodetexto2"/>
        <w:spacing w:after="200"/>
        <w:ind w:left="720" w:firstLine="1548"/>
        <w:rPr>
          <w:rFonts w:cs="Arial"/>
          <w:szCs w:val="24"/>
        </w:rPr>
      </w:pPr>
      <w:r w:rsidRPr="00630D78">
        <w:rPr>
          <w:rFonts w:cs="Arial"/>
          <w:szCs w:val="24"/>
        </w:rPr>
        <w:t>“Art. 24. ................................</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O CDCA é de emissão exclusiva de cooperativas agropecuárias e de outras pessoas jurídicas que exerçam a atividade de comercialização, beneficiamento ou industrialização de produtos, insumos, máquinas e implementos agrícolas, pecuários, florestais, aquícolas e extrativos.”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25.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1º Os direitos creditórios vinculados ao CDCA:</w:t>
      </w:r>
    </w:p>
    <w:p w:rsidR="00630D78" w:rsidRPr="00630D78" w:rsidRDefault="009920DB" w:rsidP="00630D78">
      <w:pPr>
        <w:pStyle w:val="Recuodecorpodetexto2"/>
        <w:spacing w:after="200"/>
        <w:ind w:left="720" w:firstLine="1548"/>
        <w:rPr>
          <w:rFonts w:cs="Arial"/>
          <w:szCs w:val="24"/>
        </w:rPr>
      </w:pPr>
      <w:hyperlink r:id="rId30" w:anchor="art25%C2%A71i" w:history="1">
        <w:r w:rsidR="00630D78" w:rsidRPr="00630D78">
          <w:rPr>
            <w:rFonts w:cs="Arial"/>
            <w:szCs w:val="24"/>
          </w:rPr>
          <w:t>I –</w:t>
        </w:r>
      </w:hyperlink>
      <w:r w:rsidR="00630D78" w:rsidRPr="00630D78">
        <w:rPr>
          <w:rFonts w:cs="Arial"/>
          <w:szCs w:val="24"/>
        </w:rPr>
        <w:t xml:space="preserve"> serão registrados ou depositados em entidade autorizada pelo Banco Central ou pela Comissão de Valores Mobiliários a exercer a atividade de registro ou de depósito centralizado de ativos financeiros e de valores mobiliários;</w:t>
      </w:r>
    </w:p>
    <w:p w:rsidR="00630D78" w:rsidRPr="00630D78" w:rsidRDefault="00630D78" w:rsidP="00630D78">
      <w:pPr>
        <w:pStyle w:val="Recuodecorpodetexto2"/>
        <w:spacing w:after="200"/>
        <w:ind w:left="720" w:firstLine="1548"/>
        <w:rPr>
          <w:rFonts w:cs="Arial"/>
          <w:szCs w:val="24"/>
        </w:rPr>
      </w:pPr>
      <w:r w:rsidRPr="00630D78">
        <w:rPr>
          <w:rFonts w:cs="Arial"/>
          <w:szCs w:val="24"/>
        </w:rPr>
        <w:t>II - serão custodiados em instituições financeiras ou outras instituições autorizadas pela Comissão de Valores Mobiliários a prestar serviço de custódia de valores mobiliários; e</w:t>
      </w:r>
    </w:p>
    <w:p w:rsidR="00630D78" w:rsidRPr="00630D78" w:rsidRDefault="00630D78" w:rsidP="00630D78">
      <w:pPr>
        <w:pStyle w:val="Recuodecorpodetexto2"/>
        <w:spacing w:after="200"/>
        <w:ind w:left="720" w:firstLine="1548"/>
        <w:rPr>
          <w:rFonts w:cs="Arial"/>
          <w:szCs w:val="24"/>
        </w:rPr>
      </w:pPr>
      <w:r w:rsidRPr="00630D78">
        <w:rPr>
          <w:rFonts w:cs="Arial"/>
          <w:szCs w:val="24"/>
        </w:rPr>
        <w:t>III - poderão ser formalizados em meio físico ou eletrônico e, quando correspondentes a títulos de crédito, em forma cartular ou escritural.</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4º ......................................</w:t>
      </w:r>
    </w:p>
    <w:p w:rsidR="00630D78" w:rsidRPr="00630D78" w:rsidRDefault="009920DB" w:rsidP="00630D78">
      <w:pPr>
        <w:pStyle w:val="Recuodecorpodetexto2"/>
        <w:spacing w:after="200"/>
        <w:ind w:left="720" w:firstLine="1548"/>
        <w:rPr>
          <w:rFonts w:cs="Arial"/>
          <w:szCs w:val="24"/>
        </w:rPr>
      </w:pPr>
      <w:hyperlink r:id="rId31" w:anchor="art25%C2%A74i" w:history="1">
        <w:r w:rsidR="00630D78" w:rsidRPr="00630D78">
          <w:rPr>
            <w:rFonts w:cs="Arial"/>
            <w:szCs w:val="24"/>
          </w:rPr>
          <w:t>I -</w:t>
        </w:r>
      </w:hyperlink>
      <w:r w:rsidR="00630D78" w:rsidRPr="00630D78">
        <w:rPr>
          <w:rFonts w:cs="Arial"/>
          <w:szCs w:val="24"/>
        </w:rPr>
        <w:t xml:space="preserve"> integralmente vinculado a direitos creditórios com cláusula de correção na mesma moeda; e</w:t>
      </w:r>
    </w:p>
    <w:p w:rsidR="00630D78" w:rsidRPr="00630D78" w:rsidRDefault="009920DB" w:rsidP="00630D78">
      <w:pPr>
        <w:pStyle w:val="Recuodecorpodetexto2"/>
        <w:spacing w:after="200"/>
        <w:ind w:left="720" w:firstLine="1548"/>
        <w:rPr>
          <w:rFonts w:cs="Arial"/>
          <w:szCs w:val="24"/>
        </w:rPr>
      </w:pPr>
      <w:hyperlink r:id="rId32" w:anchor="art25%C2%A74ii" w:history="1">
        <w:r w:rsidR="00630D78" w:rsidRPr="00630D78">
          <w:rPr>
            <w:rFonts w:cs="Arial"/>
            <w:szCs w:val="24"/>
          </w:rPr>
          <w:t>II -</w:t>
        </w:r>
      </w:hyperlink>
      <w:r w:rsidR="00630D78" w:rsidRPr="00630D78">
        <w:rPr>
          <w:rFonts w:cs="Arial"/>
          <w:szCs w:val="24"/>
        </w:rPr>
        <w:t xml:space="preserve"> emitido em favor de:</w:t>
      </w:r>
    </w:p>
    <w:p w:rsidR="00630D78" w:rsidRPr="00630D78" w:rsidRDefault="00630D78" w:rsidP="00630D78">
      <w:pPr>
        <w:pStyle w:val="Recuodecorpodetexto2"/>
        <w:spacing w:after="200"/>
        <w:ind w:left="720" w:firstLine="1548"/>
        <w:rPr>
          <w:rFonts w:cs="Arial"/>
          <w:szCs w:val="24"/>
        </w:rPr>
      </w:pPr>
      <w:r w:rsidRPr="00630D78">
        <w:rPr>
          <w:rFonts w:cs="Arial"/>
          <w:szCs w:val="24"/>
        </w:rPr>
        <w:t>a) investidor não residente, observado o disposto no § 5º; ou</w:t>
      </w:r>
    </w:p>
    <w:p w:rsidR="00630D78" w:rsidRPr="00630D78" w:rsidRDefault="00630D78" w:rsidP="00630D78">
      <w:pPr>
        <w:pStyle w:val="Recuodecorpodetexto2"/>
        <w:spacing w:after="200"/>
        <w:ind w:left="720" w:firstLine="1548"/>
        <w:rPr>
          <w:rFonts w:cs="Arial"/>
          <w:szCs w:val="24"/>
        </w:rPr>
      </w:pPr>
      <w:r w:rsidRPr="00630D78">
        <w:rPr>
          <w:rFonts w:cs="Arial"/>
          <w:szCs w:val="24"/>
        </w:rPr>
        <w:t>b) companhia securitizadora de direitos creditórios do agronegócio, para o fim exclusivo de vinculação a CRA com cláusula equivalente.</w:t>
      </w:r>
    </w:p>
    <w:p w:rsidR="00630D78" w:rsidRPr="00630D78" w:rsidRDefault="009920DB" w:rsidP="00630D78">
      <w:pPr>
        <w:pStyle w:val="Recuodecorpodetexto2"/>
        <w:spacing w:after="200"/>
        <w:ind w:left="720" w:firstLine="1548"/>
        <w:rPr>
          <w:rFonts w:cs="Arial"/>
          <w:szCs w:val="24"/>
        </w:rPr>
      </w:pPr>
      <w:hyperlink r:id="rId33" w:anchor="art25%C2%A75" w:history="1">
        <w:r w:rsidR="00630D78" w:rsidRPr="00630D78">
          <w:rPr>
            <w:rFonts w:cs="Arial"/>
            <w:szCs w:val="24"/>
          </w:rPr>
          <w:t>§ 5º</w:t>
        </w:r>
      </w:hyperlink>
      <w:r w:rsidR="00630D78" w:rsidRPr="00630D78">
        <w:rPr>
          <w:rFonts w:cs="Arial"/>
          <w:szCs w:val="24"/>
        </w:rPr>
        <w:t xml:space="preserve"> O Conselho Monetário Nacional poderá estabelecer outras condições para a emissão de CDCA com cláusula de correção pela variação cambial, inclusive sobre a emissão em favor de investidor residente e o rol de produtos admitidos nos direitos creditórios objeto de CDCA.”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27.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34" w:anchor="art27%C2%A71" w:history="1">
        <w:r w:rsidR="00630D78" w:rsidRPr="00630D78">
          <w:rPr>
            <w:rFonts w:cs="Arial"/>
            <w:szCs w:val="24"/>
          </w:rPr>
          <w:t>§ 1º</w:t>
        </w:r>
      </w:hyperlink>
      <w:r w:rsidR="00630D78" w:rsidRPr="00630D78">
        <w:rPr>
          <w:rFonts w:cs="Arial"/>
          <w:szCs w:val="24"/>
        </w:rPr>
        <w:t xml:space="preserve"> Os direitos creditórios vinculados à LCA:</w:t>
      </w:r>
    </w:p>
    <w:p w:rsidR="00630D78" w:rsidRPr="00630D78" w:rsidRDefault="00630D78" w:rsidP="00630D78">
      <w:pPr>
        <w:pStyle w:val="Recuodecorpodetexto2"/>
        <w:spacing w:after="200"/>
        <w:ind w:left="720" w:firstLine="1548"/>
        <w:rPr>
          <w:rFonts w:cs="Arial"/>
          <w:szCs w:val="24"/>
        </w:rPr>
      </w:pPr>
      <w:r w:rsidRPr="00630D78">
        <w:rPr>
          <w:rFonts w:cs="Arial"/>
          <w:szCs w:val="24"/>
        </w:rPr>
        <w:t>I - deverão ser registrados ou depositados em entidade autorizada pelo Banco Central ou pela Comissão de Valores Mobiliários a exercer a atividade de registro ou de depósito centralizado de ativos financeiros e de valores mobiliários; e</w:t>
      </w:r>
    </w:p>
    <w:p w:rsidR="00630D78" w:rsidRPr="00630D78" w:rsidRDefault="00630D78" w:rsidP="00630D78">
      <w:pPr>
        <w:pStyle w:val="Recuodecorpodetexto2"/>
        <w:spacing w:after="200"/>
        <w:ind w:left="720" w:firstLine="1548"/>
        <w:rPr>
          <w:rFonts w:cs="Arial"/>
          <w:szCs w:val="24"/>
        </w:rPr>
      </w:pPr>
      <w:r w:rsidRPr="00630D78">
        <w:rPr>
          <w:rFonts w:cs="Arial"/>
          <w:szCs w:val="24"/>
        </w:rPr>
        <w:t>II - poderão ser mantidos em custódia, hipótese em que se aplica o disposto no inciso II do § 1º e no § 2º do art. 25 desta Lei.</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2º Observadas as condições estabelecidas pelo Conselho Monetário Nacional, poderão ser utilizados para o cumprimento do direcionamento de recursos da LCA para o crédito rural, de que trata o </w:t>
      </w:r>
      <w:hyperlink r:id="rId35" w:anchor="art21..." w:history="1">
        <w:r w:rsidRPr="00630D78">
          <w:rPr>
            <w:rFonts w:cs="Arial"/>
            <w:szCs w:val="24"/>
          </w:rPr>
          <w:t>art. 21 da Lei nº 4.829, de 5 de novembro de 1965</w:t>
        </w:r>
      </w:hyperlink>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I - Cédula de Produto Rural – CPR emitida por produtor rural, inclusive as adquiridas por instituições financeiras de terceiros;</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II - quotas de fundos garantidores de operações de crédito com produtores rurais, pelo valor da integralização, desde que as operações de crédito garantidas sejam crédito rural; </w:t>
      </w:r>
    </w:p>
    <w:p w:rsidR="00630D78" w:rsidRPr="00630D78" w:rsidRDefault="00630D78" w:rsidP="00630D78">
      <w:pPr>
        <w:pStyle w:val="Recuodecorpodetexto2"/>
        <w:spacing w:after="200"/>
        <w:ind w:left="720" w:firstLine="1548"/>
        <w:rPr>
          <w:rFonts w:cs="Arial"/>
          <w:szCs w:val="24"/>
        </w:rPr>
      </w:pPr>
      <w:r w:rsidRPr="00630D78">
        <w:rPr>
          <w:rFonts w:cs="Arial"/>
          <w:szCs w:val="24"/>
        </w:rPr>
        <w:t>III – CDCA e o CRA, desde que os direitos creditórios vinculados sejam integralmente originados de negócios em que o produtor rural seja parte direta; e</w:t>
      </w:r>
    </w:p>
    <w:p w:rsidR="00630D78" w:rsidRPr="00630D78" w:rsidRDefault="00630D78" w:rsidP="00630D78">
      <w:pPr>
        <w:pStyle w:val="Recuodecorpodetexto2"/>
        <w:spacing w:after="200"/>
        <w:ind w:left="720" w:firstLine="1548"/>
        <w:rPr>
          <w:rFonts w:cs="Arial"/>
          <w:szCs w:val="24"/>
        </w:rPr>
      </w:pPr>
      <w:r w:rsidRPr="00630D78">
        <w:rPr>
          <w:rFonts w:cs="Arial"/>
          <w:szCs w:val="24"/>
        </w:rPr>
        <w:t>IV – CDA e WA, desde que tenham sido emitidos em favor de produtor rural.” (NR)</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“Art. 33 Além do penhor constituído na forma do art. 32, o CDCA e a LCA poderão contar com quaisquer garantias adicionais, previstas na legislação e livremente pactuadas entre as partes, podendo ser constituída no próprio título ou em documento à parte. </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Se a garantia for constituída no próprio título, a descrição dos bens poderá ser feita em documento à parte, assinado pelos representantes legais do emitente, fazendo-se menção a essa circunstância no contexto dos títulos.” (NR)</w:t>
      </w:r>
    </w:p>
    <w:p w:rsidR="00630D78" w:rsidRPr="00630D78" w:rsidRDefault="009920DB" w:rsidP="00630D78">
      <w:pPr>
        <w:pStyle w:val="Recuodecorpodetexto2"/>
        <w:spacing w:after="200"/>
        <w:ind w:left="720" w:firstLine="1548"/>
        <w:rPr>
          <w:rFonts w:cs="Arial"/>
          <w:szCs w:val="24"/>
        </w:rPr>
      </w:pPr>
      <w:hyperlink r:id="rId36" w:anchor="art35." w:history="1">
        <w:r w:rsidR="00630D78" w:rsidRPr="00630D78">
          <w:rPr>
            <w:rFonts w:cs="Arial"/>
            <w:szCs w:val="24"/>
          </w:rPr>
          <w:t>“Art. 35.</w:t>
        </w:r>
      </w:hyperlink>
      <w:r w:rsidR="00630D78" w:rsidRPr="00630D78">
        <w:rPr>
          <w:rFonts w:cs="Arial"/>
          <w:szCs w:val="24"/>
        </w:rPr>
        <w:t xml:space="preserve"> O CDCA e a LCA poderão ser emitidos sob a forma escritural, hipótese em que tais títulos deverão ser registrados ou depositados em entidade autorizada a exercer a atividade de registro ou de depósito centralizado de ativos financeiros e de valores mobiliários.” (NR)</w:t>
      </w:r>
    </w:p>
    <w:p w:rsidR="00630D78" w:rsidRPr="00630D78" w:rsidRDefault="009920DB" w:rsidP="00630D78">
      <w:pPr>
        <w:pStyle w:val="Recuodecorpodetexto2"/>
        <w:spacing w:after="200"/>
        <w:ind w:left="720" w:firstLine="1548"/>
        <w:rPr>
          <w:rFonts w:cs="Arial"/>
          <w:szCs w:val="24"/>
        </w:rPr>
      </w:pPr>
      <w:hyperlink r:id="rId37" w:anchor="art35a" w:history="1">
        <w:r w:rsidR="00630D78" w:rsidRPr="00630D78">
          <w:rPr>
            <w:rFonts w:cs="Arial"/>
            <w:szCs w:val="24"/>
          </w:rPr>
          <w:t>“Art. 35-A.</w:t>
        </w:r>
      </w:hyperlink>
      <w:r w:rsidR="00630D78" w:rsidRPr="00630D78">
        <w:rPr>
          <w:rFonts w:cs="Arial"/>
          <w:szCs w:val="24"/>
        </w:rPr>
        <w:t xml:space="preserve"> A emissão escritural do CDCA poderá, alternativamente, ocorrer por meio do lançamento em sistema eletrônico de escrituração gerido por entidade autorizada pelo Banco Central do Brasil a exercer a atividade de escrituração.” (NR)</w:t>
      </w:r>
    </w:p>
    <w:p w:rsidR="00630D78" w:rsidRPr="00630D78" w:rsidRDefault="009920DB" w:rsidP="00630D78">
      <w:pPr>
        <w:pStyle w:val="Recuodecorpodetexto2"/>
        <w:spacing w:after="200"/>
        <w:ind w:left="720" w:firstLine="1548"/>
        <w:rPr>
          <w:rFonts w:cs="Arial"/>
          <w:szCs w:val="24"/>
        </w:rPr>
      </w:pPr>
      <w:hyperlink r:id="rId38" w:anchor="art35b" w:history="1">
        <w:r w:rsidR="00630D78" w:rsidRPr="00630D78">
          <w:rPr>
            <w:rFonts w:cs="Arial"/>
            <w:szCs w:val="24"/>
          </w:rPr>
          <w:t>“Art. 35-B</w:t>
        </w:r>
      </w:hyperlink>
      <w:r w:rsidR="00630D78" w:rsidRPr="00630D78">
        <w:rPr>
          <w:rFonts w:cs="Arial"/>
          <w:szCs w:val="24"/>
        </w:rPr>
        <w:t>. Compete ao Banco Central do Brasil:</w:t>
      </w:r>
    </w:p>
    <w:p w:rsidR="00630D78" w:rsidRPr="00630D78" w:rsidRDefault="00630D78" w:rsidP="00630D78">
      <w:pPr>
        <w:pStyle w:val="Recuodecorpodetexto2"/>
        <w:spacing w:after="200"/>
        <w:ind w:left="720" w:firstLine="1548"/>
        <w:rPr>
          <w:rFonts w:cs="Arial"/>
          <w:szCs w:val="24"/>
        </w:rPr>
      </w:pPr>
      <w:r w:rsidRPr="00630D78">
        <w:rPr>
          <w:rFonts w:cs="Arial"/>
          <w:szCs w:val="24"/>
        </w:rPr>
        <w:t>I - estabelecer as condições para o exercício da atividade de escrituração de que trata o art. 35-A; e</w:t>
      </w:r>
    </w:p>
    <w:p w:rsidR="00630D78" w:rsidRPr="00630D78" w:rsidRDefault="00630D78" w:rsidP="00630D78">
      <w:pPr>
        <w:pStyle w:val="Recuodecorpodetexto2"/>
        <w:spacing w:after="200"/>
        <w:ind w:left="720" w:firstLine="1548"/>
        <w:rPr>
          <w:rFonts w:cs="Arial"/>
          <w:szCs w:val="24"/>
        </w:rPr>
      </w:pPr>
      <w:r w:rsidRPr="00630D78">
        <w:rPr>
          <w:rFonts w:cs="Arial"/>
          <w:szCs w:val="24"/>
        </w:rPr>
        <w:t>II - autorizar e supervisionar o exercício da atividade prevista no inciso I.</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A autorização de que trata o inciso II do </w:t>
      </w:r>
      <w:r w:rsidRPr="00630D78">
        <w:rPr>
          <w:rFonts w:cs="Arial"/>
          <w:b/>
          <w:szCs w:val="24"/>
        </w:rPr>
        <w:t>caput</w:t>
      </w:r>
      <w:r w:rsidRPr="00630D78">
        <w:rPr>
          <w:rFonts w:cs="Arial"/>
          <w:szCs w:val="24"/>
        </w:rPr>
        <w:t xml:space="preserve"> poderá, a critério do Banco Central do Brasil, ser concedida por segmento, por espécie ou por grupos de entidades que atendam a critérios específicos, sendo dispensável a autorização individualizada.</w:t>
      </w:r>
    </w:p>
    <w:p w:rsidR="00630D78" w:rsidRPr="00630D78" w:rsidRDefault="00630D78" w:rsidP="00630D78">
      <w:pPr>
        <w:pStyle w:val="Recuodecorpodetexto2"/>
        <w:spacing w:after="200"/>
        <w:ind w:left="720" w:firstLine="1548"/>
        <w:rPr>
          <w:rFonts w:cs="Arial"/>
          <w:szCs w:val="24"/>
        </w:rPr>
      </w:pPr>
      <w:r w:rsidRPr="00630D78">
        <w:rPr>
          <w:rFonts w:cs="Arial"/>
          <w:szCs w:val="24"/>
        </w:rPr>
        <w:t>§ 2º A entidade responsável pela escrituração de que trata o art. 35-A expedirá, mediante solicitação, certidão de inteiro teor do título, inclusive para fins de protesto e de execução.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3º A certidão de que trata o § 2º poderá ser emitida na forma eletrônica, observados os requisitos de segurança que garantam a autenticidade e a integridade do documento.” (NR)</w:t>
      </w:r>
    </w:p>
    <w:p w:rsidR="00630D78" w:rsidRPr="00630D78" w:rsidRDefault="009920DB" w:rsidP="00630D78">
      <w:pPr>
        <w:pStyle w:val="Recuodecorpodetexto2"/>
        <w:spacing w:after="200"/>
        <w:ind w:left="720" w:firstLine="1548"/>
        <w:rPr>
          <w:rFonts w:cs="Arial"/>
          <w:szCs w:val="24"/>
        </w:rPr>
      </w:pPr>
      <w:hyperlink r:id="rId39" w:anchor="art35c" w:history="1">
        <w:r w:rsidR="00630D78" w:rsidRPr="00630D78">
          <w:rPr>
            <w:rFonts w:cs="Arial"/>
            <w:szCs w:val="24"/>
          </w:rPr>
          <w:t>“Art. 35-C.</w:t>
        </w:r>
      </w:hyperlink>
      <w:r w:rsidR="00630D78" w:rsidRPr="00630D78">
        <w:rPr>
          <w:rFonts w:cs="Arial"/>
          <w:szCs w:val="24"/>
        </w:rPr>
        <w:t xml:space="preserve"> A liquidação do pagamento em favor do legítimo credor, por qualquer meio de pagamento existente no âmbito do Sistema de Pagamentos Brasileiro, constituirá prova de pagamento, total ou parcial, do CDCA emitida sob a forma escritural.</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A prova de pagamento de que trata o </w:t>
      </w:r>
      <w:r w:rsidRPr="00630D78">
        <w:rPr>
          <w:rFonts w:cs="Arial"/>
          <w:b/>
          <w:szCs w:val="24"/>
        </w:rPr>
        <w:t>caput</w:t>
      </w:r>
      <w:r w:rsidRPr="00630D78">
        <w:rPr>
          <w:rFonts w:cs="Arial"/>
          <w:szCs w:val="24"/>
        </w:rPr>
        <w:t xml:space="preserve"> será informada no sistema eletrônico de escrituração de que trata o art. 35-A, com referência expressa ao CDCA amortizado ou liquidado.” (NR)</w:t>
      </w:r>
    </w:p>
    <w:p w:rsidR="00630D78" w:rsidRPr="00630D78" w:rsidRDefault="009920DB" w:rsidP="00630D78">
      <w:pPr>
        <w:pStyle w:val="Recuodecorpodetexto2"/>
        <w:spacing w:after="200"/>
        <w:ind w:left="720" w:firstLine="1548"/>
        <w:rPr>
          <w:rFonts w:cs="Arial"/>
          <w:szCs w:val="24"/>
        </w:rPr>
      </w:pPr>
      <w:hyperlink r:id="rId40" w:anchor="art35d" w:history="1">
        <w:r w:rsidR="00630D78" w:rsidRPr="00630D78">
          <w:rPr>
            <w:rFonts w:cs="Arial"/>
            <w:szCs w:val="24"/>
          </w:rPr>
          <w:t>“Art. 35-D</w:t>
        </w:r>
      </w:hyperlink>
      <w:r w:rsidR="00630D78" w:rsidRPr="00630D78">
        <w:rPr>
          <w:rFonts w:cs="Arial"/>
          <w:szCs w:val="24"/>
        </w:rPr>
        <w:t>. O sistema eletrônico de escrituração, de que trata o art. 35-A, fará constar:</w:t>
      </w:r>
    </w:p>
    <w:p w:rsidR="00630D78" w:rsidRPr="00630D78" w:rsidRDefault="00630D78" w:rsidP="00630D78">
      <w:pPr>
        <w:pStyle w:val="Recuodecorpodetexto2"/>
        <w:spacing w:after="200"/>
        <w:ind w:left="720" w:firstLine="1548"/>
        <w:rPr>
          <w:rFonts w:cs="Arial"/>
          <w:szCs w:val="24"/>
        </w:rPr>
      </w:pPr>
      <w:r w:rsidRPr="00630D78">
        <w:rPr>
          <w:rFonts w:cs="Arial"/>
          <w:szCs w:val="24"/>
        </w:rPr>
        <w:t>I - os requisitos essenciais do título;</w:t>
      </w:r>
    </w:p>
    <w:p w:rsidR="00630D78" w:rsidRPr="00630D78" w:rsidRDefault="00630D78" w:rsidP="00630D78">
      <w:pPr>
        <w:pStyle w:val="Recuodecorpodetexto2"/>
        <w:spacing w:after="200"/>
        <w:ind w:left="720" w:firstLine="1548"/>
        <w:rPr>
          <w:rFonts w:cs="Arial"/>
          <w:szCs w:val="24"/>
        </w:rPr>
      </w:pPr>
      <w:r w:rsidRPr="00630D78">
        <w:rPr>
          <w:rFonts w:cs="Arial"/>
          <w:szCs w:val="24"/>
        </w:rPr>
        <w:t>II - o endosso e a cadeia de endossos, se houver;</w:t>
      </w:r>
    </w:p>
    <w:p w:rsidR="00630D78" w:rsidRPr="00630D78" w:rsidRDefault="00630D78" w:rsidP="00630D78">
      <w:pPr>
        <w:pStyle w:val="Recuodecorpodetexto2"/>
        <w:spacing w:after="200"/>
        <w:ind w:left="720" w:firstLine="1548"/>
        <w:rPr>
          <w:rFonts w:cs="Arial"/>
          <w:szCs w:val="24"/>
        </w:rPr>
      </w:pPr>
      <w:r w:rsidRPr="00630D78">
        <w:rPr>
          <w:rFonts w:cs="Arial"/>
          <w:szCs w:val="24"/>
        </w:rPr>
        <w:t>III - os aditamentos, as ratificações e as retificações; e</w:t>
      </w:r>
    </w:p>
    <w:p w:rsidR="00630D78" w:rsidRPr="00630D78" w:rsidRDefault="00630D78" w:rsidP="00630D78">
      <w:pPr>
        <w:pStyle w:val="Recuodecorpodetexto2"/>
        <w:spacing w:after="200"/>
        <w:ind w:left="720" w:firstLine="1548"/>
        <w:rPr>
          <w:rFonts w:cs="Arial"/>
          <w:szCs w:val="24"/>
        </w:rPr>
      </w:pPr>
      <w:r w:rsidRPr="00630D78">
        <w:rPr>
          <w:rFonts w:cs="Arial"/>
          <w:szCs w:val="24"/>
        </w:rPr>
        <w:t>IV - a inclusão de notificações, de cláusulas contratuais e de outras informações.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Na hipótese de serem constituídos gravames e ônus, tal ocorrência será informada no sistema de que trata o art. 35-A.”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36. .................................</w:t>
      </w:r>
    </w:p>
    <w:p w:rsidR="00630D78" w:rsidRPr="00630D78" w:rsidRDefault="009920DB" w:rsidP="00630D78">
      <w:pPr>
        <w:pStyle w:val="Recuodecorpodetexto2"/>
        <w:spacing w:after="200"/>
        <w:ind w:left="720" w:firstLine="1548"/>
        <w:rPr>
          <w:rFonts w:cs="Arial"/>
          <w:szCs w:val="24"/>
        </w:rPr>
      </w:pPr>
      <w:hyperlink r:id="rId41" w:anchor="art36p" w:history="1">
        <w:r w:rsidR="00630D78" w:rsidRPr="00630D78">
          <w:rPr>
            <w:rFonts w:cs="Arial"/>
            <w:szCs w:val="24"/>
          </w:rPr>
          <w:t>Parágrafo único</w:t>
        </w:r>
      </w:hyperlink>
      <w:r w:rsidR="00630D78" w:rsidRPr="00630D78">
        <w:rPr>
          <w:rFonts w:cs="Arial"/>
          <w:szCs w:val="24"/>
        </w:rPr>
        <w:t>. O CRA é de emissão exclusiva das companhias securitizadoras de direitos creditórios do agronegócio, nos termos do disposto no § 1º do art. 23.”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37.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1º O CRA adotará a forma escritural, observado o disposto nos arts. 35, 35-A, 35-B, 35-C e 35-D.</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3º ......................................</w:t>
      </w:r>
    </w:p>
    <w:p w:rsidR="00630D78" w:rsidRPr="00630D78" w:rsidRDefault="009920DB" w:rsidP="00630D78">
      <w:pPr>
        <w:pStyle w:val="Recuodecorpodetexto2"/>
        <w:spacing w:after="200"/>
        <w:ind w:left="720" w:firstLine="1548"/>
        <w:rPr>
          <w:rFonts w:cs="Arial"/>
          <w:szCs w:val="24"/>
        </w:rPr>
      </w:pPr>
      <w:hyperlink r:id="rId42" w:anchor="art37%C2%A73i" w:history="1">
        <w:r w:rsidR="00630D78" w:rsidRPr="00630D78">
          <w:rPr>
            <w:rFonts w:cs="Arial"/>
            <w:szCs w:val="24"/>
          </w:rPr>
          <w:t>I -</w:t>
        </w:r>
      </w:hyperlink>
      <w:r w:rsidR="00630D78" w:rsidRPr="00630D78">
        <w:rPr>
          <w:rFonts w:cs="Arial"/>
          <w:szCs w:val="24"/>
        </w:rPr>
        <w:t xml:space="preserve"> integralmente vinculado a direitos creditórios com cláusula de correção na mesma moeda; e</w:t>
      </w:r>
    </w:p>
    <w:p w:rsidR="00630D78" w:rsidRPr="00630D78" w:rsidRDefault="009920DB" w:rsidP="00630D78">
      <w:pPr>
        <w:pStyle w:val="Recuodecorpodetexto2"/>
        <w:spacing w:after="200"/>
        <w:ind w:left="720" w:firstLine="1548"/>
        <w:rPr>
          <w:rFonts w:cs="Arial"/>
          <w:szCs w:val="24"/>
        </w:rPr>
      </w:pPr>
      <w:hyperlink r:id="rId43" w:anchor="art37%C2%A73ii" w:history="1">
        <w:r w:rsidR="00630D78" w:rsidRPr="00630D78">
          <w:rPr>
            <w:rFonts w:cs="Arial"/>
            <w:szCs w:val="24"/>
          </w:rPr>
          <w:t>II -</w:t>
        </w:r>
      </w:hyperlink>
      <w:r w:rsidR="00630D78" w:rsidRPr="00630D78">
        <w:rPr>
          <w:rFonts w:cs="Arial"/>
          <w:szCs w:val="24"/>
        </w:rPr>
        <w:t xml:space="preserve"> emitido em favor de investidor não residente, observado o disposto no § 4º.</w:t>
      </w:r>
    </w:p>
    <w:p w:rsidR="00630D78" w:rsidRPr="00630D78" w:rsidRDefault="009920DB" w:rsidP="00630D78">
      <w:pPr>
        <w:pStyle w:val="Recuodecorpodetexto2"/>
        <w:spacing w:after="200"/>
        <w:ind w:left="720" w:firstLine="1548"/>
        <w:rPr>
          <w:rFonts w:cs="Arial"/>
          <w:szCs w:val="24"/>
        </w:rPr>
      </w:pPr>
      <w:hyperlink r:id="rId44" w:anchor="art37%C2%A74" w:history="1">
        <w:r w:rsidR="00630D78" w:rsidRPr="00630D78">
          <w:rPr>
            <w:rFonts w:cs="Arial"/>
            <w:szCs w:val="24"/>
          </w:rPr>
          <w:t>§ 4º</w:t>
        </w:r>
      </w:hyperlink>
      <w:r w:rsidR="00630D78" w:rsidRPr="00630D78">
        <w:rPr>
          <w:rFonts w:cs="Arial"/>
          <w:szCs w:val="24"/>
        </w:rPr>
        <w:t> O Conselho Monetário Nacional poderá estabelecer outras condições para a emissão de CRA com cláusula de correção pela variação cambial, inclusive sobre a emissão em favor de investidor residente.</w:t>
      </w:r>
    </w:p>
    <w:p w:rsidR="00630D78" w:rsidRPr="00630D78" w:rsidRDefault="00630D78" w:rsidP="00630D78">
      <w:pPr>
        <w:pStyle w:val="Recuodecorpodetexto2"/>
        <w:spacing w:after="200"/>
        <w:ind w:left="720" w:firstLine="1548"/>
        <w:rPr>
          <w:rFonts w:cs="Arial"/>
          <w:szCs w:val="24"/>
        </w:rPr>
      </w:pPr>
      <w:r w:rsidRPr="00630D78">
        <w:rPr>
          <w:rFonts w:cs="Arial"/>
          <w:szCs w:val="24"/>
        </w:rPr>
        <w:t>§ 5º Nas distribuições realizadas no exterior, o CRA poderá ser registrado em entidade de registro e de liquidação financeira situada no país de distribuição, desde que a entidade seja:</w:t>
      </w:r>
    </w:p>
    <w:p w:rsidR="00630D78" w:rsidRPr="00630D78" w:rsidRDefault="00630D78" w:rsidP="00630D78">
      <w:pPr>
        <w:pStyle w:val="Recuodecorpodetexto2"/>
        <w:spacing w:after="200"/>
        <w:ind w:left="720" w:firstLine="1548"/>
        <w:rPr>
          <w:rFonts w:cs="Arial"/>
          <w:szCs w:val="24"/>
        </w:rPr>
      </w:pPr>
      <w:r w:rsidRPr="00630D78">
        <w:rPr>
          <w:rFonts w:cs="Arial"/>
          <w:szCs w:val="24"/>
        </w:rPr>
        <w:t>I - autorizada em seu país de origem; e</w:t>
      </w:r>
    </w:p>
    <w:p w:rsidR="00630D78" w:rsidRPr="00630D78" w:rsidRDefault="00630D78" w:rsidP="00630D78">
      <w:pPr>
        <w:pStyle w:val="Recuodecorpodetexto2"/>
        <w:spacing w:after="200"/>
        <w:ind w:left="720" w:firstLine="1548"/>
        <w:rPr>
          <w:rFonts w:cs="Arial"/>
          <w:szCs w:val="24"/>
        </w:rPr>
      </w:pPr>
      <w:r w:rsidRPr="00630D78">
        <w:rPr>
          <w:rFonts w:cs="Arial"/>
          <w:szCs w:val="24"/>
        </w:rPr>
        <w:t>II - supervisionada por autoridade estrangeira com a qual a Comissão de Valores Mobiliários tenha firmado acordo de cooperação mútua que permita intercâmbio de informações sobre operações realizadas nos mercados por ela supervisionados, ou que seja signatária de memorando multilateral de entendimentos da Organização Internacional das Comissões de Valores.” (NR)</w:t>
      </w:r>
    </w:p>
    <w:p w:rsidR="00630D78" w:rsidRPr="00630D78" w:rsidRDefault="009920DB" w:rsidP="00630D78">
      <w:pPr>
        <w:pStyle w:val="Recuodecorpodetexto2"/>
        <w:spacing w:after="200"/>
        <w:ind w:left="720" w:firstLine="1548"/>
        <w:rPr>
          <w:rFonts w:cs="Arial"/>
          <w:szCs w:val="24"/>
        </w:rPr>
      </w:pPr>
      <w:hyperlink r:id="rId45" w:anchor="art52a" w:history="1">
        <w:r w:rsidR="00630D78" w:rsidRPr="00630D78">
          <w:rPr>
            <w:rFonts w:cs="Arial"/>
            <w:szCs w:val="24"/>
          </w:rPr>
          <w:t>“Art. 52-A.</w:t>
        </w:r>
      </w:hyperlink>
      <w:r w:rsidR="00630D78" w:rsidRPr="00630D78">
        <w:rPr>
          <w:rFonts w:cs="Arial"/>
          <w:szCs w:val="24"/>
        </w:rPr>
        <w:t xml:space="preserve"> As infrações às normas legais e regulamentares que regem a atividade de escrituração eletrônica sujeitam a entidade responsável pelo sistema eletrônico de escrituração, os seus administradores e os membros de seus órgãos estatutários ou contratuais ao disposto na Lei nº 13.506, de 13 de novembro de 2017.” (NR)</w:t>
      </w:r>
    </w:p>
    <w:p w:rsidR="00630D78" w:rsidRPr="00630D78" w:rsidRDefault="00630D78" w:rsidP="00630D78">
      <w:pPr>
        <w:pStyle w:val="Recuodecorpodetexto2"/>
        <w:spacing w:after="200"/>
        <w:ind w:left="720" w:firstLine="1548"/>
        <w:rPr>
          <w:rFonts w:cs="Arial"/>
          <w:szCs w:val="24"/>
        </w:rPr>
      </w:pP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VIII</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DA ESCRITURAÇÃO DE TÍTULOS DE CRÉDITO</w:t>
      </w:r>
    </w:p>
    <w:p w:rsidR="00630D78" w:rsidRPr="00630D78" w:rsidRDefault="00630D78" w:rsidP="00630D78">
      <w:pPr>
        <w:pStyle w:val="Recuodecorpodetexto2"/>
        <w:keepNext/>
        <w:spacing w:after="200"/>
        <w:ind w:firstLine="0"/>
        <w:jc w:val="center"/>
        <w:rPr>
          <w:rFonts w:cs="Arial"/>
          <w:b/>
          <w:szCs w:val="24"/>
        </w:rPr>
      </w:pPr>
    </w:p>
    <w:p w:rsidR="00630D78" w:rsidRPr="00630D78" w:rsidRDefault="00630D78" w:rsidP="00630D78">
      <w:pPr>
        <w:pStyle w:val="Recuodecorpodetexto2"/>
        <w:keepNext/>
        <w:spacing w:after="200"/>
        <w:ind w:firstLine="2302"/>
        <w:rPr>
          <w:rFonts w:cs="Arial"/>
          <w:szCs w:val="24"/>
        </w:rPr>
      </w:pPr>
      <w:bookmarkStart w:id="35" w:name="art40"/>
      <w:bookmarkEnd w:id="35"/>
      <w:r w:rsidRPr="00630D78">
        <w:rPr>
          <w:rFonts w:cs="Arial"/>
          <w:b/>
          <w:szCs w:val="24"/>
        </w:rPr>
        <w:t>Art. 44.</w:t>
      </w:r>
      <w:r w:rsidRPr="00630D78">
        <w:rPr>
          <w:rFonts w:cs="Arial"/>
          <w:szCs w:val="24"/>
        </w:rPr>
        <w:t xml:space="preserve"> A </w:t>
      </w:r>
      <w:hyperlink r:id="rId46" w:history="1">
        <w:r w:rsidRPr="00630D78">
          <w:rPr>
            <w:rFonts w:cs="Arial"/>
            <w:szCs w:val="24"/>
          </w:rPr>
          <w:t>Lei nº 10.931, de 2 de agosto de 2004</w:t>
        </w:r>
      </w:hyperlink>
      <w:r w:rsidRPr="00630D78">
        <w:rPr>
          <w:rFonts w:cs="Arial"/>
          <w:szCs w:val="24"/>
        </w:rPr>
        <w:t>,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12.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47" w:anchor="art12%C2%A72." w:history="1">
        <w:r w:rsidR="00630D78" w:rsidRPr="00630D78">
          <w:rPr>
            <w:rFonts w:cs="Arial"/>
            <w:szCs w:val="24"/>
          </w:rPr>
          <w:t>§ 2º</w:t>
        </w:r>
      </w:hyperlink>
      <w:r w:rsidR="00630D78" w:rsidRPr="00630D78">
        <w:rPr>
          <w:rFonts w:cs="Arial"/>
          <w:szCs w:val="24"/>
        </w:rPr>
        <w:t xml:space="preserve"> A LCI poderá ser emitida sob a forma escritural por meio do lançamento em sistema eletrônico do emissor, devendo ser registrada ou depositada em entidade autorizada pelo Banco Central do Brasil a exercer a atividade de registro ou de depósito centralizado de ativos financeiros.”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18.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48" w:anchor="art18%C2%A74." w:history="1">
        <w:r w:rsidR="00630D78" w:rsidRPr="00630D78">
          <w:rPr>
            <w:rFonts w:cs="Arial"/>
            <w:szCs w:val="24"/>
          </w:rPr>
          <w:t>§ 4º</w:t>
        </w:r>
      </w:hyperlink>
      <w:r w:rsidR="00630D78" w:rsidRPr="00630D78">
        <w:rPr>
          <w:rFonts w:cs="Arial"/>
          <w:szCs w:val="24"/>
        </w:rPr>
        <w:t xml:space="preserve"> A emissão da CCI sob a forma escritural ocorrerá por meio de escritura pública ou instrumento particular, que permanecerá custodiado em instituição financeira.</w:t>
      </w:r>
    </w:p>
    <w:p w:rsidR="00630D78" w:rsidRPr="00630D78" w:rsidRDefault="00630D78" w:rsidP="00630D78">
      <w:pPr>
        <w:pStyle w:val="Recuodecorpodetexto2"/>
        <w:spacing w:after="200"/>
        <w:ind w:left="720" w:firstLine="1548"/>
        <w:rPr>
          <w:rFonts w:cs="Arial"/>
          <w:szCs w:val="24"/>
        </w:rPr>
      </w:pPr>
      <w:r w:rsidRPr="00630D78">
        <w:rPr>
          <w:rFonts w:cs="Arial"/>
          <w:szCs w:val="24"/>
        </w:rPr>
        <w:t>§ 4º-A A negociação da CCI emitida sob forma escritural ou a substituição da instituição custodiante de que trata o § 4º será precedida de registro ou depósito em entidade autorizada pelo Banco Central do Brasil a exercer a atividade de registro ou de depósito centralizado de ativos financeiros.</w:t>
      </w:r>
    </w:p>
    <w:p w:rsidR="00630D78" w:rsidRPr="00630D78" w:rsidRDefault="00630D78" w:rsidP="00630D78">
      <w:pPr>
        <w:pStyle w:val="Recuodecorpodetexto2"/>
        <w:spacing w:after="200"/>
        <w:ind w:left="720" w:firstLine="1548"/>
        <w:rPr>
          <w:rFonts w:cs="Arial"/>
          <w:szCs w:val="24"/>
        </w:rPr>
      </w:pPr>
      <w:r w:rsidRPr="00630D78">
        <w:rPr>
          <w:rFonts w:cs="Arial"/>
          <w:szCs w:val="24"/>
        </w:rPr>
        <w:t>§ 4º-B O Conselho Monetário Nacional poderá estabelecer as condições para o registro e o depósito centralizado de CCI e a obrigatoriedade de depósito da CCI em entidade autorizada pelo Banco Central do Brasil a exercer a atividade de depósito centralizado de ativos financeiros.</w:t>
      </w:r>
    </w:p>
    <w:p w:rsidR="00630D78" w:rsidRPr="00630D78" w:rsidRDefault="00630D78" w:rsidP="00630D78">
      <w:pPr>
        <w:pStyle w:val="Recuodecorpodetexto2"/>
        <w:spacing w:after="200"/>
        <w:ind w:left="720" w:firstLine="1548"/>
        <w:rPr>
          <w:rFonts w:cs="Arial"/>
          <w:szCs w:val="24"/>
        </w:rPr>
      </w:pPr>
      <w:r w:rsidRPr="00630D78">
        <w:rPr>
          <w:rFonts w:cs="Arial"/>
          <w:szCs w:val="24"/>
        </w:rPr>
        <w:t>§ 4º-C A instituição custodiante, na hipótese de a CCI ser liquidada antes de ser negociada, declarará a inexistência do registro ou do depósito de que trata o § 4º-A, para fins do disposto no art. 24 desta Lei.</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9920DB" w:rsidP="00630D78">
      <w:pPr>
        <w:pStyle w:val="Recuodecorpodetexto2"/>
        <w:spacing w:after="200"/>
        <w:ind w:left="720" w:firstLine="1548"/>
        <w:rPr>
          <w:rFonts w:cs="Arial"/>
          <w:szCs w:val="24"/>
        </w:rPr>
      </w:pPr>
      <w:hyperlink r:id="rId49" w:anchor="art22." w:history="1">
        <w:r w:rsidR="00630D78" w:rsidRPr="00630D78">
          <w:rPr>
            <w:rFonts w:cs="Arial"/>
            <w:szCs w:val="24"/>
          </w:rPr>
          <w:t>“Art. 22.</w:t>
        </w:r>
      </w:hyperlink>
      <w:r w:rsidR="00630D78" w:rsidRPr="00630D78">
        <w:rPr>
          <w:rFonts w:cs="Arial"/>
          <w:szCs w:val="24"/>
        </w:rPr>
        <w:t xml:space="preserve"> A cessão do crédito representado por CCI poderá ocorrer por meio de sistema de entidade autorizada pelo Banco Central do Brasil a exercer a atividade de depósito centralizado de ativos financeiros na qual a CCI tenha sido depositada.</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23. A CCI, objeto de securitização nos termos da Lei nº 9.514, de 20 de novembro de 1997, será identificada no respectivo Termo de Securitização de Créditos, mediante indicação do seu valor, número, série e instituição custodiante, dispensada a enunciação das informações já constantes da Cédula ou nos controles das entidades mencionadas no §4º do art. 18.</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9920DB" w:rsidP="00630D78">
      <w:pPr>
        <w:pStyle w:val="Recuodecorpodetexto2"/>
        <w:spacing w:after="200"/>
        <w:ind w:left="720" w:firstLine="1548"/>
        <w:rPr>
          <w:rFonts w:cs="Arial"/>
          <w:szCs w:val="24"/>
        </w:rPr>
      </w:pPr>
      <w:hyperlink r:id="rId50" w:anchor="art27a" w:history="1">
        <w:r w:rsidR="00630D78" w:rsidRPr="00630D78">
          <w:rPr>
            <w:rFonts w:cs="Arial"/>
            <w:szCs w:val="24"/>
          </w:rPr>
          <w:t>“Art. 27-A</w:t>
        </w:r>
      </w:hyperlink>
      <w:r w:rsidR="00630D78" w:rsidRPr="00630D78">
        <w:rPr>
          <w:rFonts w:cs="Arial"/>
          <w:szCs w:val="24"/>
        </w:rPr>
        <w:t>. A Cédula de Crédito Bancário poderá ser emitida sob a forma escritural, por meio do lançamento em sistema eletrônico de escrituração.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O sistema eletrônico de escrituração de que trata o </w:t>
      </w:r>
      <w:r w:rsidRPr="00630D78">
        <w:rPr>
          <w:rFonts w:cs="Arial"/>
          <w:b/>
          <w:szCs w:val="24"/>
        </w:rPr>
        <w:t>caput</w:t>
      </w:r>
      <w:r w:rsidRPr="00630D78">
        <w:rPr>
          <w:rFonts w:cs="Arial"/>
          <w:szCs w:val="24"/>
        </w:rPr>
        <w:t xml:space="preserve"> será mantido em instituição financeira ou em outra entidade autorizada pelo Banco Central do Brasil a exercer a atividade de escrituração eletrônica.” (NR)</w:t>
      </w:r>
    </w:p>
    <w:p w:rsidR="00630D78" w:rsidRPr="00630D78" w:rsidRDefault="009920DB" w:rsidP="00630D78">
      <w:pPr>
        <w:pStyle w:val="Recuodecorpodetexto2"/>
        <w:spacing w:after="200"/>
        <w:ind w:left="720" w:firstLine="1548"/>
        <w:rPr>
          <w:rFonts w:cs="Arial"/>
          <w:szCs w:val="24"/>
        </w:rPr>
      </w:pPr>
      <w:hyperlink r:id="rId51" w:anchor="art27b" w:history="1">
        <w:r w:rsidR="00630D78" w:rsidRPr="00630D78">
          <w:rPr>
            <w:rFonts w:cs="Arial"/>
            <w:szCs w:val="24"/>
          </w:rPr>
          <w:t>“Art. 27-B.</w:t>
        </w:r>
      </w:hyperlink>
      <w:r w:rsidR="00630D78" w:rsidRPr="00630D78">
        <w:rPr>
          <w:rFonts w:cs="Arial"/>
          <w:szCs w:val="24"/>
        </w:rPr>
        <w:t xml:space="preserve"> Compete ao Banco Central do Brasil:</w:t>
      </w:r>
    </w:p>
    <w:p w:rsidR="00630D78" w:rsidRPr="00630D78" w:rsidRDefault="00630D78" w:rsidP="00630D78">
      <w:pPr>
        <w:pStyle w:val="Recuodecorpodetexto2"/>
        <w:spacing w:after="200"/>
        <w:ind w:left="720" w:firstLine="1548"/>
        <w:rPr>
          <w:rFonts w:cs="Arial"/>
          <w:szCs w:val="24"/>
        </w:rPr>
      </w:pPr>
      <w:r w:rsidRPr="00630D78">
        <w:rPr>
          <w:rFonts w:cs="Arial"/>
          <w:szCs w:val="24"/>
        </w:rPr>
        <w:t>I - estabelecer as condições para o exercício da atividade de escrituração eletrônica de que trata o parágrafo único do art. 27-A desta Lei; e</w:t>
      </w:r>
    </w:p>
    <w:p w:rsidR="00630D78" w:rsidRPr="00630D78" w:rsidRDefault="00630D78" w:rsidP="00630D78">
      <w:pPr>
        <w:pStyle w:val="Recuodecorpodetexto2"/>
        <w:spacing w:after="200"/>
        <w:ind w:left="720" w:firstLine="1548"/>
        <w:rPr>
          <w:rFonts w:cs="Arial"/>
          <w:szCs w:val="24"/>
        </w:rPr>
      </w:pPr>
      <w:r w:rsidRPr="00630D78">
        <w:rPr>
          <w:rFonts w:cs="Arial"/>
          <w:szCs w:val="24"/>
        </w:rPr>
        <w:t>II - autorizar e supervisionar o exercício da atividade prevista no inciso I.</w:t>
      </w:r>
    </w:p>
    <w:p w:rsidR="00630D78" w:rsidRPr="00630D78" w:rsidRDefault="00630D78" w:rsidP="00630D78">
      <w:pPr>
        <w:pStyle w:val="Recuodecorpodetexto2"/>
        <w:spacing w:after="200"/>
        <w:ind w:left="720" w:firstLine="1548"/>
        <w:rPr>
          <w:rFonts w:cs="Arial"/>
          <w:szCs w:val="24"/>
        </w:rPr>
      </w:pPr>
      <w:r w:rsidRPr="00630D78">
        <w:rPr>
          <w:rFonts w:cs="Arial"/>
          <w:szCs w:val="24"/>
        </w:rPr>
        <w:t>§ 1º A autorização de que trata o parágrafo único do art. 27-A desta Lei poderá, a critério do Banco Central do Brasil, ser concedida por segmento, por espécie ou por grupos de entidades que atendam a critérios específicos, dispensada a concessão de autorização individualizada.</w:t>
      </w:r>
    </w:p>
    <w:p w:rsidR="00630D78" w:rsidRPr="00630D78" w:rsidRDefault="00630D78" w:rsidP="00630D78">
      <w:pPr>
        <w:pStyle w:val="Recuodecorpodetexto2"/>
        <w:spacing w:after="200"/>
        <w:ind w:left="720" w:firstLine="1548"/>
        <w:rPr>
          <w:rFonts w:cs="Arial"/>
          <w:szCs w:val="24"/>
        </w:rPr>
      </w:pPr>
      <w:r w:rsidRPr="00630D78">
        <w:rPr>
          <w:rFonts w:cs="Arial"/>
          <w:szCs w:val="24"/>
        </w:rPr>
        <w:t>§ 2º As infrações às normas legais e regulamentares que regem a atividade de escrituração eletrônica sujeitam a entidade responsável pelo sistema eletrônico de escrituração, os seus administradores e os membros de seus órgãos estatutários ou contratuais ao disposto na Lei nº 13.506, de 13 de novembro de 2017.” (NR)</w:t>
      </w:r>
    </w:p>
    <w:p w:rsidR="00630D78" w:rsidRPr="00630D78" w:rsidRDefault="009920DB" w:rsidP="00630D78">
      <w:pPr>
        <w:pStyle w:val="Recuodecorpodetexto2"/>
        <w:spacing w:after="200"/>
        <w:ind w:left="720" w:firstLine="1548"/>
        <w:rPr>
          <w:rFonts w:cs="Arial"/>
          <w:szCs w:val="24"/>
        </w:rPr>
      </w:pPr>
      <w:hyperlink r:id="rId52" w:anchor="art27c" w:history="1">
        <w:r w:rsidR="00630D78" w:rsidRPr="00630D78">
          <w:rPr>
            <w:rFonts w:cs="Arial"/>
            <w:szCs w:val="24"/>
          </w:rPr>
          <w:t>“Art. 27-C.</w:t>
        </w:r>
      </w:hyperlink>
      <w:r w:rsidR="00630D78" w:rsidRPr="00630D78">
        <w:rPr>
          <w:rFonts w:cs="Arial"/>
          <w:szCs w:val="24"/>
        </w:rPr>
        <w:t xml:space="preserve"> A entidade responsável pelo sistema eletrônico de escrituração de que trata o art. 27-A desta Lei expedirá, mediante solicitação de seu titular, certidão de inteiro teor do título, a qual corresponderá a título executivo extrajudicial.</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A certidão de que trata o </w:t>
      </w:r>
      <w:r w:rsidRPr="00630D78">
        <w:rPr>
          <w:rFonts w:cs="Arial"/>
          <w:b/>
          <w:szCs w:val="24"/>
        </w:rPr>
        <w:t>caput</w:t>
      </w:r>
      <w:r w:rsidRPr="00630D78">
        <w:rPr>
          <w:rFonts w:cs="Arial"/>
          <w:szCs w:val="24"/>
        </w:rPr>
        <w:t xml:space="preserve"> poderá ser emitida na forma eletrônica, observados os requisitos de segurança que garantam a autenticidade e a integridade do documento.” (NR)</w:t>
      </w:r>
    </w:p>
    <w:p w:rsidR="00630D78" w:rsidRPr="00630D78" w:rsidRDefault="009920DB" w:rsidP="00630D78">
      <w:pPr>
        <w:pStyle w:val="Recuodecorpodetexto2"/>
        <w:spacing w:after="200"/>
        <w:ind w:left="720" w:firstLine="1548"/>
        <w:rPr>
          <w:rFonts w:cs="Arial"/>
          <w:szCs w:val="24"/>
        </w:rPr>
      </w:pPr>
      <w:hyperlink r:id="rId53" w:anchor="art27c" w:history="1">
        <w:r w:rsidR="00630D78" w:rsidRPr="00630D78">
          <w:rPr>
            <w:rFonts w:cs="Arial"/>
            <w:szCs w:val="24"/>
          </w:rPr>
          <w:t>“Art. 27-D.</w:t>
        </w:r>
      </w:hyperlink>
      <w:r w:rsidR="00630D78" w:rsidRPr="00630D78">
        <w:rPr>
          <w:rFonts w:cs="Arial"/>
          <w:szCs w:val="24"/>
        </w:rPr>
        <w:t xml:space="preserve"> O Banco Central do Brasil poderá regulamentar a emissão, a assinatura, a negociação e a liquidação da Cédula de Crédito Bancário emitida sob a forma escritural.”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29.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54" w:anchor="art29%C2%A72." w:history="1">
        <w:r w:rsidR="00630D78" w:rsidRPr="00630D78">
          <w:rPr>
            <w:rFonts w:cs="Arial"/>
            <w:szCs w:val="24"/>
          </w:rPr>
          <w:t>§ 2º </w:t>
        </w:r>
      </w:hyperlink>
      <w:r w:rsidR="00630D78" w:rsidRPr="00630D78">
        <w:rPr>
          <w:rFonts w:cs="Arial"/>
          <w:szCs w:val="24"/>
        </w:rPr>
        <w:t>Na hipótese de emissão sob a forma cartular, a Cédula de Crédito Bancário será emitida em tantas vias quantas forem as partes que nela intervierem, assinadas pelo emitente e pelo terceiro garantidor, se houver, ou por seus respectivos mandatários, e cada parte receberá uma via.</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55" w:anchor="art29%C2%A75" w:history="1">
        <w:r w:rsidR="00630D78" w:rsidRPr="00630D78">
          <w:rPr>
            <w:rFonts w:cs="Arial"/>
            <w:szCs w:val="24"/>
          </w:rPr>
          <w:t>§ 5º</w:t>
        </w:r>
      </w:hyperlink>
      <w:r w:rsidR="00630D78" w:rsidRPr="00630D78">
        <w:rPr>
          <w:rFonts w:cs="Arial"/>
          <w:szCs w:val="24"/>
        </w:rPr>
        <w:t xml:space="preserve"> A assinatura de que trata o inciso VI do </w:t>
      </w:r>
      <w:r w:rsidR="00630D78" w:rsidRPr="00630D78">
        <w:rPr>
          <w:rFonts w:cs="Arial"/>
          <w:b/>
          <w:szCs w:val="24"/>
        </w:rPr>
        <w:t>caput</w:t>
      </w:r>
      <w:r w:rsidR="00630D78" w:rsidRPr="00630D78">
        <w:rPr>
          <w:rFonts w:cs="Arial"/>
          <w:szCs w:val="24"/>
        </w:rPr>
        <w:t xml:space="preserve"> poderá ocorrer sob a forma eletrônica, desde que garantida a identificação inequívoca de seu signatário.” (NR)</w:t>
      </w:r>
    </w:p>
    <w:p w:rsidR="00630D78" w:rsidRPr="00630D78" w:rsidRDefault="009920DB" w:rsidP="00630D78">
      <w:pPr>
        <w:pStyle w:val="Recuodecorpodetexto2"/>
        <w:spacing w:after="200"/>
        <w:ind w:left="720" w:firstLine="1548"/>
        <w:rPr>
          <w:rFonts w:cs="Arial"/>
          <w:szCs w:val="24"/>
        </w:rPr>
      </w:pPr>
      <w:hyperlink r:id="rId56" w:anchor="art42a" w:history="1">
        <w:r w:rsidR="00630D78" w:rsidRPr="00630D78">
          <w:rPr>
            <w:rFonts w:cs="Arial"/>
            <w:szCs w:val="24"/>
          </w:rPr>
          <w:t>“Art. 42-A</w:t>
        </w:r>
      </w:hyperlink>
      <w:r w:rsidR="00630D78" w:rsidRPr="00630D78">
        <w:rPr>
          <w:rFonts w:cs="Arial"/>
          <w:szCs w:val="24"/>
        </w:rPr>
        <w:t>. Na hipótese de Cédula de Crédito Bancário emitida sob a forma escritural, o sistema eletrônico de escrituração, de que trata o art. 27-A desta Lei, fará constar:</w:t>
      </w:r>
    </w:p>
    <w:p w:rsidR="00630D78" w:rsidRPr="00630D78" w:rsidRDefault="00630D78" w:rsidP="00630D78">
      <w:pPr>
        <w:pStyle w:val="Recuodecorpodetexto2"/>
        <w:spacing w:after="200"/>
        <w:ind w:left="720" w:firstLine="1548"/>
        <w:rPr>
          <w:rFonts w:cs="Arial"/>
          <w:szCs w:val="24"/>
        </w:rPr>
      </w:pPr>
      <w:r w:rsidRPr="00630D78">
        <w:rPr>
          <w:rFonts w:cs="Arial"/>
          <w:szCs w:val="24"/>
        </w:rPr>
        <w:t>I - a emissão do título com seus requisitos essenciais;</w:t>
      </w:r>
    </w:p>
    <w:p w:rsidR="00630D78" w:rsidRPr="00630D78" w:rsidRDefault="00630D78" w:rsidP="00630D78">
      <w:pPr>
        <w:pStyle w:val="Recuodecorpodetexto2"/>
        <w:spacing w:after="200"/>
        <w:ind w:left="720" w:firstLine="1548"/>
        <w:rPr>
          <w:rFonts w:cs="Arial"/>
          <w:szCs w:val="24"/>
        </w:rPr>
      </w:pPr>
      <w:r w:rsidRPr="00630D78">
        <w:rPr>
          <w:rFonts w:cs="Arial"/>
          <w:szCs w:val="24"/>
        </w:rPr>
        <w:t>II - a forma de pagamento ajustada no título;</w:t>
      </w:r>
    </w:p>
    <w:p w:rsidR="00630D78" w:rsidRPr="00630D78" w:rsidRDefault="00630D78" w:rsidP="00630D78">
      <w:pPr>
        <w:pStyle w:val="Recuodecorpodetexto2"/>
        <w:spacing w:after="200"/>
        <w:ind w:left="720" w:firstLine="1548"/>
        <w:rPr>
          <w:rFonts w:cs="Arial"/>
          <w:szCs w:val="24"/>
        </w:rPr>
      </w:pPr>
      <w:r w:rsidRPr="00630D78">
        <w:rPr>
          <w:rFonts w:cs="Arial"/>
          <w:szCs w:val="24"/>
        </w:rPr>
        <w:t>III - o endosso em preto, de que trata o § 1º do art. 29 desta Lei, e a cadeia de endossos, se houver;</w:t>
      </w:r>
    </w:p>
    <w:p w:rsidR="00630D78" w:rsidRPr="00630D78" w:rsidRDefault="00630D78" w:rsidP="00630D78">
      <w:pPr>
        <w:pStyle w:val="Recuodecorpodetexto2"/>
        <w:spacing w:after="200"/>
        <w:ind w:left="720" w:firstLine="1548"/>
        <w:rPr>
          <w:rFonts w:cs="Arial"/>
          <w:szCs w:val="24"/>
        </w:rPr>
      </w:pPr>
      <w:r w:rsidRPr="00630D78">
        <w:rPr>
          <w:rFonts w:cs="Arial"/>
          <w:szCs w:val="24"/>
        </w:rPr>
        <w:t>IV - os aditamentos, as retificações e as ratificações de que trata o § 4º do art. 29;</w:t>
      </w:r>
    </w:p>
    <w:p w:rsidR="00630D78" w:rsidRPr="00630D78" w:rsidRDefault="00630D78" w:rsidP="00630D78">
      <w:pPr>
        <w:pStyle w:val="Recuodecorpodetexto2"/>
        <w:spacing w:after="200"/>
        <w:ind w:left="720" w:firstLine="1548"/>
        <w:rPr>
          <w:rFonts w:cs="Arial"/>
          <w:szCs w:val="24"/>
        </w:rPr>
      </w:pPr>
      <w:r w:rsidRPr="00630D78">
        <w:rPr>
          <w:rFonts w:cs="Arial"/>
          <w:szCs w:val="24"/>
        </w:rPr>
        <w:t>V - a inclusão de notificações, de cláusulas contratuais, de informações, inclusive sobre o fracionamento, quando houver, ou de outras declarações referentes à Cédula de Crédito Bancário ou ao certificado de que trata o art. 43; e</w:t>
      </w:r>
    </w:p>
    <w:p w:rsidR="00630D78" w:rsidRPr="00630D78" w:rsidRDefault="00630D78" w:rsidP="00630D78">
      <w:pPr>
        <w:pStyle w:val="Recuodecorpodetexto2"/>
        <w:spacing w:after="200"/>
        <w:ind w:left="720" w:firstLine="1548"/>
        <w:rPr>
          <w:rFonts w:cs="Arial"/>
          <w:szCs w:val="24"/>
        </w:rPr>
      </w:pPr>
      <w:r w:rsidRPr="00630D78">
        <w:rPr>
          <w:rFonts w:cs="Arial"/>
          <w:szCs w:val="24"/>
        </w:rPr>
        <w:t>VI - as ocorrências de pagamento, se houver.</w:t>
      </w:r>
    </w:p>
    <w:p w:rsidR="00630D78" w:rsidRPr="00630D78" w:rsidRDefault="00630D78" w:rsidP="00630D78">
      <w:pPr>
        <w:pStyle w:val="Recuodecorpodetexto2"/>
        <w:spacing w:after="200"/>
        <w:ind w:left="720" w:firstLine="1548"/>
        <w:rPr>
          <w:rFonts w:cs="Arial"/>
          <w:szCs w:val="24"/>
        </w:rPr>
      </w:pPr>
      <w:r w:rsidRPr="00630D78">
        <w:rPr>
          <w:rFonts w:cs="Arial"/>
          <w:szCs w:val="24"/>
        </w:rPr>
        <w:t>§1º Na hipótese de serem constituídos garantias e quaisquer outros gravames e ônus, tais ocorrências serão informadas no sistema eletrônico de escrituração de que trata o art. 27-A desta Lei.</w:t>
      </w:r>
    </w:p>
    <w:p w:rsidR="00630D78" w:rsidRPr="00630D78" w:rsidRDefault="00630D78" w:rsidP="00630D78">
      <w:pPr>
        <w:pStyle w:val="Recuodecorpodetexto2"/>
        <w:spacing w:after="200"/>
        <w:ind w:left="720" w:firstLine="1548"/>
        <w:rPr>
          <w:rFonts w:cs="Arial"/>
          <w:szCs w:val="24"/>
        </w:rPr>
      </w:pPr>
      <w:r w:rsidRPr="00630D78">
        <w:rPr>
          <w:rFonts w:cs="Arial"/>
          <w:szCs w:val="24"/>
        </w:rPr>
        <w:t>§2º As garantias dadas na CCB, ou ainda a constituição de gravames e ônus sobre o título, deverão ser informados no sistema ao qual se refere o art. 27-A”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42-B. Para fins da cobrança de emolumentos e custas cartorárias relacionadas ao registro da garantia, fica a Cédula de Crédito Bancário, quando utilizada para a formalização de operações de crédito rural, equiparada à Cédula de Crédito Rural, de que trata o Decreto-Lei nº 167, de 14 de fevereiro de 1967.” (NR)</w:t>
      </w:r>
    </w:p>
    <w:p w:rsidR="00630D78" w:rsidRPr="00630D78" w:rsidRDefault="009920DB" w:rsidP="00630D78">
      <w:pPr>
        <w:pStyle w:val="Recuodecorpodetexto2"/>
        <w:spacing w:after="200"/>
        <w:ind w:left="720" w:firstLine="1548"/>
        <w:rPr>
          <w:rFonts w:cs="Arial"/>
          <w:szCs w:val="24"/>
        </w:rPr>
      </w:pPr>
      <w:hyperlink r:id="rId57" w:anchor="art43." w:history="1">
        <w:r w:rsidR="00630D78" w:rsidRPr="00630D78">
          <w:rPr>
            <w:rFonts w:cs="Arial"/>
            <w:szCs w:val="24"/>
          </w:rPr>
          <w:t>“Art. 43.</w:t>
        </w:r>
      </w:hyperlink>
      <w:r w:rsidR="00630D78" w:rsidRPr="00630D78">
        <w:rPr>
          <w:rFonts w:cs="Arial"/>
          <w:szCs w:val="24"/>
        </w:rPr>
        <w:t xml:space="preserve"> As instituições financeiras, nas condições estabelecidas pelo Conselho Monetário Nacional, poderão emitir título representativo das Cédulas de Crédito Bancário por elas mantidas em custódia, do qual constarão:</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58" w:anchor="art43ii." w:history="1">
        <w:r w:rsidR="00630D78" w:rsidRPr="00630D78">
          <w:rPr>
            <w:rFonts w:cs="Arial"/>
            <w:szCs w:val="24"/>
          </w:rPr>
          <w:t>II -</w:t>
        </w:r>
      </w:hyperlink>
      <w:r w:rsidR="00630D78" w:rsidRPr="00630D78">
        <w:rPr>
          <w:rFonts w:cs="Arial"/>
          <w:szCs w:val="24"/>
        </w:rPr>
        <w:t xml:space="preserve"> o nome e a qualificação do custodiante das Cédulas de Crédito Bancário;</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59" w:anchor="art43iv." w:history="1">
        <w:r w:rsidR="00630D78" w:rsidRPr="00630D78">
          <w:rPr>
            <w:rFonts w:cs="Arial"/>
            <w:szCs w:val="24"/>
          </w:rPr>
          <w:t>IV -</w:t>
        </w:r>
      </w:hyperlink>
      <w:r w:rsidR="00630D78" w:rsidRPr="00630D78">
        <w:rPr>
          <w:rFonts w:cs="Arial"/>
          <w:szCs w:val="24"/>
        </w:rPr>
        <w:t xml:space="preserve"> a especificação das cédulas custodiadas, o nome dos seus emitentes e o valor, o lugar e a data do pagamento do crédito por elas incorporado;</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60" w:anchor="art43vi." w:history="1">
        <w:r w:rsidR="00630D78" w:rsidRPr="00630D78">
          <w:rPr>
            <w:rFonts w:cs="Arial"/>
            <w:szCs w:val="24"/>
          </w:rPr>
          <w:t>VI -</w:t>
        </w:r>
      </w:hyperlink>
      <w:r w:rsidR="00630D78" w:rsidRPr="00630D78">
        <w:rPr>
          <w:rFonts w:cs="Arial"/>
          <w:szCs w:val="24"/>
        </w:rPr>
        <w:t xml:space="preserve"> a declaração de que a instituição financeira, na qualidade e com as responsabilidades de custodiante e mandatária do titular do certificado, promoverá a cobrança das Cédulas de Crédito Bancário, e de que as cédulas custodiadas, o produto da cobrança do seu principal e os seus encargos serão entregues ao titular do certificado somente com a apresentação deste;</w:t>
      </w:r>
    </w:p>
    <w:p w:rsidR="00630D78" w:rsidRPr="00630D78" w:rsidRDefault="009920DB" w:rsidP="00630D78">
      <w:pPr>
        <w:pStyle w:val="Recuodecorpodetexto2"/>
        <w:spacing w:after="200"/>
        <w:ind w:left="720" w:firstLine="1548"/>
        <w:rPr>
          <w:rFonts w:cs="Arial"/>
          <w:szCs w:val="24"/>
        </w:rPr>
      </w:pPr>
      <w:hyperlink r:id="rId61" w:anchor="art43vii." w:history="1">
        <w:r w:rsidR="00630D78" w:rsidRPr="00630D78">
          <w:rPr>
            <w:rFonts w:cs="Arial"/>
            <w:szCs w:val="24"/>
          </w:rPr>
          <w:t>VII -</w:t>
        </w:r>
      </w:hyperlink>
      <w:r w:rsidR="00630D78" w:rsidRPr="00630D78">
        <w:rPr>
          <w:rFonts w:cs="Arial"/>
          <w:szCs w:val="24"/>
        </w:rPr>
        <w:t xml:space="preserve"> o lugar da entrega do objeto da custódia; e</w:t>
      </w:r>
    </w:p>
    <w:p w:rsidR="00630D78" w:rsidRPr="00630D78" w:rsidRDefault="009920DB" w:rsidP="00630D78">
      <w:pPr>
        <w:pStyle w:val="Recuodecorpodetexto2"/>
        <w:spacing w:after="200"/>
        <w:ind w:left="720" w:firstLine="1548"/>
        <w:rPr>
          <w:rFonts w:cs="Arial"/>
          <w:szCs w:val="24"/>
        </w:rPr>
      </w:pPr>
      <w:hyperlink r:id="rId62" w:anchor="art43viii." w:history="1">
        <w:r w:rsidR="00630D78" w:rsidRPr="00630D78">
          <w:rPr>
            <w:rFonts w:cs="Arial"/>
            <w:szCs w:val="24"/>
          </w:rPr>
          <w:t>VIII -</w:t>
        </w:r>
      </w:hyperlink>
      <w:r w:rsidR="00630D78" w:rsidRPr="00630D78">
        <w:rPr>
          <w:rFonts w:cs="Arial"/>
          <w:szCs w:val="24"/>
        </w:rPr>
        <w:t xml:space="preserve"> a remuneração devida à instituição financeira pela custódia das cédulas objeto da emissão do certificado, se convencionada.</w:t>
      </w:r>
    </w:p>
    <w:p w:rsidR="00630D78" w:rsidRPr="00630D78" w:rsidRDefault="009920DB" w:rsidP="00630D78">
      <w:pPr>
        <w:pStyle w:val="Recuodecorpodetexto2"/>
        <w:spacing w:after="200"/>
        <w:ind w:left="720" w:firstLine="1548"/>
        <w:rPr>
          <w:rFonts w:cs="Arial"/>
          <w:szCs w:val="24"/>
        </w:rPr>
      </w:pPr>
      <w:hyperlink r:id="rId63" w:anchor="art43%C2%A71." w:history="1">
        <w:r w:rsidR="00630D78" w:rsidRPr="00630D78">
          <w:rPr>
            <w:rFonts w:cs="Arial"/>
            <w:szCs w:val="24"/>
          </w:rPr>
          <w:t>§ 1º</w:t>
        </w:r>
      </w:hyperlink>
      <w:r w:rsidR="00630D78" w:rsidRPr="00630D78">
        <w:rPr>
          <w:rFonts w:cs="Arial"/>
          <w:szCs w:val="24"/>
        </w:rPr>
        <w:t xml:space="preserve"> A instituição financeira responderá pela origem e pela autenticidade das Cédulas de Crédito Bancário nela custodiadas.</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64" w:anchor="art43%C2%A73." w:history="1">
        <w:r w:rsidR="00630D78" w:rsidRPr="00630D78">
          <w:rPr>
            <w:rFonts w:cs="Arial"/>
            <w:szCs w:val="24"/>
          </w:rPr>
          <w:t>§ 3º</w:t>
        </w:r>
      </w:hyperlink>
      <w:r w:rsidR="00630D78" w:rsidRPr="00630D78">
        <w:rPr>
          <w:rFonts w:cs="Arial"/>
          <w:szCs w:val="24"/>
        </w:rPr>
        <w:t xml:space="preserve"> O certificado poderá ser emitido sob forma escritural, por meio do lançamento no sistema eletrônico de escrituração, hipótese em que se aplica, no que couber, com as devidas adaptações, o disposto nos art. 27-A, art. 27-B, art. 27-C, art. 27-D e art. 42-A.</w:t>
      </w:r>
    </w:p>
    <w:p w:rsidR="00630D78" w:rsidRPr="00630D78" w:rsidRDefault="009920DB" w:rsidP="00630D78">
      <w:pPr>
        <w:pStyle w:val="Recuodecorpodetexto2"/>
        <w:spacing w:after="200"/>
        <w:ind w:left="720" w:firstLine="1548"/>
        <w:rPr>
          <w:rFonts w:cs="Arial"/>
          <w:szCs w:val="24"/>
        </w:rPr>
      </w:pPr>
      <w:hyperlink r:id="rId65" w:anchor="art43%C2%A74." w:history="1">
        <w:r w:rsidR="00630D78" w:rsidRPr="00630D78">
          <w:rPr>
            <w:rFonts w:cs="Arial"/>
            <w:szCs w:val="24"/>
          </w:rPr>
          <w:t>§ 4º</w:t>
        </w:r>
      </w:hyperlink>
      <w:r w:rsidR="00630D78" w:rsidRPr="00630D78">
        <w:rPr>
          <w:rFonts w:cs="Arial"/>
          <w:szCs w:val="24"/>
        </w:rPr>
        <w:t xml:space="preserve"> O certificado será transferido somente por meio de endosso, ainda que por intermédio de sistema eletrônico de escrituração, hipótese em que a transferência deverá ser datada e assinada por seu titular ou mandatário com poderes especiais e, na hipótese de certificado cartular, averbada junto à instituição financeira emitente, no prazo de dois dias, contado da data do endosso.</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66" w:anchor="art43%C2%A76" w:history="1">
        <w:r w:rsidR="00630D78" w:rsidRPr="00630D78">
          <w:rPr>
            <w:rFonts w:cs="Arial"/>
            <w:szCs w:val="24"/>
          </w:rPr>
          <w:t>§ 6º</w:t>
        </w:r>
      </w:hyperlink>
      <w:r w:rsidR="00630D78" w:rsidRPr="00630D78">
        <w:rPr>
          <w:rFonts w:cs="Arial"/>
          <w:szCs w:val="24"/>
        </w:rPr>
        <w:t xml:space="preserve"> O endossatário do certificado, ainda que não seja instituição financeira ou entidade a ela equiparada, fará jus a todos os direitos nele previstos, incluída a cobrança de juros e demais encargos.</w:t>
      </w:r>
    </w:p>
    <w:p w:rsidR="00630D78" w:rsidRPr="00630D78" w:rsidRDefault="00630D78" w:rsidP="00630D78">
      <w:pPr>
        <w:pStyle w:val="Recuodecorpodetexto2"/>
        <w:spacing w:after="200"/>
        <w:ind w:left="720" w:firstLine="1548"/>
        <w:rPr>
          <w:rFonts w:cs="Arial"/>
          <w:szCs w:val="24"/>
        </w:rPr>
      </w:pPr>
      <w:r w:rsidRPr="00630D78">
        <w:rPr>
          <w:rFonts w:cs="Arial"/>
          <w:szCs w:val="24"/>
        </w:rPr>
        <w:t>§ 7º O certificado poderá representar:</w:t>
      </w:r>
    </w:p>
    <w:p w:rsidR="00630D78" w:rsidRPr="00630D78" w:rsidRDefault="00630D78" w:rsidP="00630D78">
      <w:pPr>
        <w:pStyle w:val="Recuodecorpodetexto2"/>
        <w:spacing w:after="200"/>
        <w:ind w:left="720" w:firstLine="1548"/>
        <w:rPr>
          <w:rFonts w:cs="Arial"/>
          <w:szCs w:val="24"/>
        </w:rPr>
      </w:pPr>
      <w:r w:rsidRPr="00630D78">
        <w:rPr>
          <w:rFonts w:cs="Arial"/>
          <w:szCs w:val="24"/>
        </w:rPr>
        <w:t>I - uma única cédula;</w:t>
      </w:r>
    </w:p>
    <w:p w:rsidR="00630D78" w:rsidRPr="00630D78" w:rsidRDefault="00630D78" w:rsidP="00630D78">
      <w:pPr>
        <w:pStyle w:val="Recuodecorpodetexto2"/>
        <w:spacing w:after="200"/>
        <w:ind w:left="720" w:firstLine="1548"/>
        <w:rPr>
          <w:rFonts w:cs="Arial"/>
          <w:szCs w:val="24"/>
        </w:rPr>
      </w:pPr>
      <w:r w:rsidRPr="00630D78">
        <w:rPr>
          <w:rFonts w:cs="Arial"/>
          <w:szCs w:val="24"/>
        </w:rPr>
        <w:t>II - um agrupamento de cédulas; ou</w:t>
      </w:r>
    </w:p>
    <w:p w:rsidR="00630D78" w:rsidRPr="00630D78" w:rsidRDefault="00630D78" w:rsidP="00630D78">
      <w:pPr>
        <w:pStyle w:val="Recuodecorpodetexto2"/>
        <w:spacing w:after="200"/>
        <w:ind w:left="720" w:firstLine="1548"/>
        <w:rPr>
          <w:rFonts w:cs="Arial"/>
          <w:szCs w:val="24"/>
        </w:rPr>
      </w:pPr>
      <w:r w:rsidRPr="00630D78">
        <w:rPr>
          <w:rFonts w:cs="Arial"/>
          <w:szCs w:val="24"/>
        </w:rPr>
        <w:t>III - frações de cédulas.</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8º Na hipótese de que trata o inciso III do § 7º, o certificado somente poderá representar frações de Cédulas de Crédito Bancário emitidas sob forma escritural e esta informação deverá constar do sistema de que trata o § 3º do </w:t>
      </w:r>
      <w:r w:rsidRPr="00630D78">
        <w:rPr>
          <w:rFonts w:cs="Arial"/>
          <w:b/>
          <w:szCs w:val="24"/>
        </w:rPr>
        <w:t>caput</w:t>
      </w:r>
      <w:r w:rsidRPr="00630D78">
        <w:rPr>
          <w:rFonts w:cs="Arial"/>
          <w:szCs w:val="24"/>
        </w:rPr>
        <w:t>.” (NR)</w:t>
      </w:r>
    </w:p>
    <w:p w:rsidR="00630D78" w:rsidRPr="00630D78" w:rsidRDefault="009920DB" w:rsidP="00630D78">
      <w:pPr>
        <w:pStyle w:val="Recuodecorpodetexto2"/>
        <w:spacing w:after="200"/>
        <w:ind w:left="720" w:firstLine="1548"/>
        <w:rPr>
          <w:rFonts w:cs="Arial"/>
          <w:szCs w:val="24"/>
        </w:rPr>
      </w:pPr>
      <w:hyperlink r:id="rId67" w:anchor="art45a" w:history="1">
        <w:r w:rsidR="00630D78" w:rsidRPr="00630D78">
          <w:rPr>
            <w:rFonts w:cs="Arial"/>
            <w:szCs w:val="24"/>
          </w:rPr>
          <w:t>“Art. 45-A.</w:t>
        </w:r>
      </w:hyperlink>
      <w:r w:rsidR="00630D78" w:rsidRPr="00630D78">
        <w:rPr>
          <w:rFonts w:cs="Arial"/>
          <w:szCs w:val="24"/>
        </w:rPr>
        <w:t xml:space="preserve"> Para fins do disposto no § 1º do art. 2º da Lei nº 6.385, de 7 de dezembro de 1976, a Cédula de Crédito Bancário, o Certificado de Cédulas de Crédito Bancário e a Cédula de Crédito Imobiliário são títulos cambiais de responsabilidade de instituição financeira ou entidade autorizada a funcionar pelo Banco Central do Brasil, desde que a instituição financeira ou a entidade:</w:t>
      </w:r>
    </w:p>
    <w:p w:rsidR="00630D78" w:rsidRPr="00630D78" w:rsidRDefault="00630D78" w:rsidP="00630D78">
      <w:pPr>
        <w:pStyle w:val="Recuodecorpodetexto2"/>
        <w:spacing w:after="200"/>
        <w:ind w:left="720" w:firstLine="1548"/>
        <w:rPr>
          <w:rFonts w:cs="Arial"/>
          <w:szCs w:val="24"/>
        </w:rPr>
      </w:pPr>
      <w:r w:rsidRPr="00630D78">
        <w:rPr>
          <w:rFonts w:cs="Arial"/>
          <w:szCs w:val="24"/>
        </w:rPr>
        <w:t>I - seja titular dos direitos de crédito por eles representados;</w:t>
      </w:r>
    </w:p>
    <w:p w:rsidR="00630D78" w:rsidRPr="00630D78" w:rsidRDefault="00630D78" w:rsidP="00630D78">
      <w:pPr>
        <w:pStyle w:val="Recuodecorpodetexto2"/>
        <w:spacing w:after="200"/>
        <w:ind w:left="720" w:firstLine="1548"/>
        <w:rPr>
          <w:rFonts w:cs="Arial"/>
          <w:szCs w:val="24"/>
        </w:rPr>
      </w:pPr>
      <w:r w:rsidRPr="00630D78">
        <w:rPr>
          <w:rFonts w:cs="Arial"/>
          <w:szCs w:val="24"/>
        </w:rPr>
        <w:t>II - preste garantia às obrigações por eles representadas; ou</w:t>
      </w:r>
    </w:p>
    <w:p w:rsidR="00630D78" w:rsidRPr="00630D78" w:rsidRDefault="00630D78" w:rsidP="00630D78">
      <w:pPr>
        <w:pStyle w:val="Recuodecorpodetexto2"/>
        <w:spacing w:after="200"/>
        <w:ind w:left="720" w:firstLine="1548"/>
        <w:rPr>
          <w:rFonts w:cs="Arial"/>
          <w:szCs w:val="24"/>
        </w:rPr>
      </w:pPr>
      <w:r w:rsidRPr="00630D78">
        <w:rPr>
          <w:rFonts w:cs="Arial"/>
          <w:szCs w:val="24"/>
        </w:rPr>
        <w:t>III - realize, até a liquidação final dos títulos, o serviço de monitoramento dos fluxos de recursos entre credores e devedores e de eventuais inadimplementos.” (NR)</w:t>
      </w:r>
    </w:p>
    <w:p w:rsidR="00630D78" w:rsidRPr="00630D78" w:rsidRDefault="00630D78" w:rsidP="00630D78">
      <w:pPr>
        <w:pStyle w:val="Recuodecorpodetexto2"/>
        <w:spacing w:after="200"/>
        <w:ind w:firstLine="2302"/>
        <w:rPr>
          <w:rFonts w:cs="Arial"/>
          <w:szCs w:val="24"/>
        </w:rPr>
      </w:pPr>
      <w:bookmarkStart w:id="36" w:name="art41"/>
      <w:bookmarkEnd w:id="36"/>
      <w:r w:rsidRPr="00630D78">
        <w:rPr>
          <w:rFonts w:cs="Arial"/>
          <w:b/>
          <w:szCs w:val="24"/>
        </w:rPr>
        <w:t xml:space="preserve">Art. 45. </w:t>
      </w:r>
      <w:r w:rsidRPr="00630D78">
        <w:rPr>
          <w:rFonts w:cs="Arial"/>
          <w:szCs w:val="24"/>
        </w:rPr>
        <w:t>O Decreto-Lei nº 167, de 14 de fevereiro de 1967, passa a vigorar com as seguintes alterações:</w:t>
      </w:r>
    </w:p>
    <w:p w:rsidR="00630D78" w:rsidRPr="00630D78" w:rsidRDefault="009920DB" w:rsidP="00630D78">
      <w:pPr>
        <w:pStyle w:val="Recuodecorpodetexto2"/>
        <w:spacing w:after="200"/>
        <w:ind w:left="720" w:firstLine="1548"/>
        <w:rPr>
          <w:rFonts w:cs="Arial"/>
          <w:szCs w:val="24"/>
        </w:rPr>
      </w:pPr>
      <w:hyperlink r:id="rId68" w:anchor="art10." w:history="1">
        <w:r w:rsidR="00630D78" w:rsidRPr="00630D78">
          <w:rPr>
            <w:rFonts w:cs="Arial"/>
            <w:szCs w:val="24"/>
          </w:rPr>
          <w:t>“Art. 10.</w:t>
        </w:r>
      </w:hyperlink>
      <w:r w:rsidR="00630D78" w:rsidRPr="00630D78">
        <w:rPr>
          <w:rFonts w:cs="Arial"/>
          <w:szCs w:val="24"/>
        </w:rPr>
        <w:t xml:space="preserve"> A cédula de crédito rural é título civil, líquido e certo, transferível e de livre negociação, exigível pelo seu valor ou pelo de seu endosso, além dos juros, da comissão de fiscalização, se houver, e das demais despesas feitas pelo credor para a segurança, a regularidade e a realização de seu direito creditório.</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9920DB" w:rsidP="00630D78">
      <w:pPr>
        <w:pStyle w:val="Recuodecorpodetexto2"/>
        <w:spacing w:after="200"/>
        <w:ind w:left="720" w:firstLine="1548"/>
        <w:rPr>
          <w:rFonts w:cs="Arial"/>
          <w:szCs w:val="24"/>
        </w:rPr>
      </w:pPr>
      <w:hyperlink r:id="rId69" w:anchor="art10a" w:history="1">
        <w:r w:rsidR="00630D78" w:rsidRPr="00630D78">
          <w:rPr>
            <w:rFonts w:cs="Arial"/>
            <w:szCs w:val="24"/>
          </w:rPr>
          <w:t>“Art. 10-A</w:t>
        </w:r>
      </w:hyperlink>
      <w:r w:rsidR="00630D78" w:rsidRPr="00630D78">
        <w:rPr>
          <w:rFonts w:cs="Arial"/>
          <w:szCs w:val="24"/>
        </w:rPr>
        <w:t>. A cédula de crédito rural poderá ser emitida sob a forma escritural em sistema eletrônico de escrituração.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1º O sistema eletrônico de escrituração de que trata o </w:t>
      </w:r>
      <w:r w:rsidRPr="00630D78">
        <w:rPr>
          <w:rFonts w:cs="Arial"/>
          <w:b/>
          <w:szCs w:val="24"/>
        </w:rPr>
        <w:t>caput</w:t>
      </w:r>
      <w:r w:rsidRPr="00630D78">
        <w:rPr>
          <w:rFonts w:cs="Arial"/>
          <w:szCs w:val="24"/>
        </w:rPr>
        <w:t xml:space="preserve"> será mantido em entidade autorizada pelo Banco Central do Brasil a exercer a atividade de escrituração.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2º Compete ao Banco Central do Brasil:</w:t>
      </w:r>
    </w:p>
    <w:p w:rsidR="00630D78" w:rsidRPr="00630D78" w:rsidRDefault="00630D78" w:rsidP="00630D78">
      <w:pPr>
        <w:pStyle w:val="Recuodecorpodetexto2"/>
        <w:spacing w:after="200"/>
        <w:ind w:left="720" w:firstLine="1548"/>
        <w:rPr>
          <w:rFonts w:cs="Arial"/>
          <w:szCs w:val="24"/>
        </w:rPr>
      </w:pPr>
      <w:r w:rsidRPr="00630D78">
        <w:rPr>
          <w:rFonts w:cs="Arial"/>
          <w:szCs w:val="24"/>
        </w:rPr>
        <w:t>I - estabelecer as condições para o exercício da atividade de escrituração de que trata o § 1º; e</w:t>
      </w:r>
    </w:p>
    <w:p w:rsidR="00630D78" w:rsidRPr="00630D78" w:rsidRDefault="00630D78" w:rsidP="00630D78">
      <w:pPr>
        <w:pStyle w:val="Recuodecorpodetexto2"/>
        <w:spacing w:after="200"/>
        <w:ind w:left="720" w:firstLine="1548"/>
        <w:rPr>
          <w:rFonts w:cs="Arial"/>
          <w:szCs w:val="24"/>
        </w:rPr>
      </w:pPr>
      <w:r w:rsidRPr="00630D78">
        <w:rPr>
          <w:rFonts w:cs="Arial"/>
          <w:szCs w:val="24"/>
        </w:rPr>
        <w:t>II - autorizar e supervisionar o exercício da atividade prevista no inciso I.</w:t>
      </w:r>
    </w:p>
    <w:p w:rsidR="00630D78" w:rsidRPr="00630D78" w:rsidRDefault="00630D78" w:rsidP="00630D78">
      <w:pPr>
        <w:pStyle w:val="Recuodecorpodetexto2"/>
        <w:spacing w:after="200"/>
        <w:ind w:left="720" w:firstLine="1548"/>
        <w:rPr>
          <w:rFonts w:cs="Arial"/>
          <w:szCs w:val="24"/>
        </w:rPr>
      </w:pPr>
      <w:r w:rsidRPr="00630D78">
        <w:rPr>
          <w:rFonts w:cs="Arial"/>
          <w:szCs w:val="24"/>
        </w:rPr>
        <w:t>§ 3º A autorização de que trata o inciso II do § 2º poderá, a critério do Banco Central do Brasil, ser concedida por segmento, por espécie ou por grupos de entidades que atendam a critérios específicos, dispensada a autorização individualizada.</w:t>
      </w:r>
    </w:p>
    <w:p w:rsidR="00630D78" w:rsidRPr="00630D78" w:rsidRDefault="00630D78" w:rsidP="00630D78">
      <w:pPr>
        <w:pStyle w:val="Recuodecorpodetexto2"/>
        <w:spacing w:after="200"/>
        <w:ind w:left="720" w:firstLine="1548"/>
        <w:rPr>
          <w:rFonts w:cs="Arial"/>
          <w:szCs w:val="24"/>
        </w:rPr>
      </w:pPr>
      <w:r w:rsidRPr="00630D78">
        <w:rPr>
          <w:rFonts w:cs="Arial"/>
          <w:szCs w:val="24"/>
        </w:rPr>
        <w:t>§ 4º As infrações às normas legais e regulamentares que regem a atividade de escrituração eletrônica sujeitam a entidade responsável pelo sistema eletrônico de escrituração, os seus administradores e os membros de seus órgãos estatutários ou contratuais ao disposto na Lei nº 13.506, de 13 de novembro de 2017.” (NR)</w:t>
      </w:r>
    </w:p>
    <w:p w:rsidR="00630D78" w:rsidRPr="00630D78" w:rsidRDefault="009920DB" w:rsidP="00630D78">
      <w:pPr>
        <w:pStyle w:val="Recuodecorpodetexto2"/>
        <w:spacing w:after="200"/>
        <w:ind w:left="720" w:firstLine="1548"/>
        <w:rPr>
          <w:rFonts w:cs="Arial"/>
          <w:szCs w:val="24"/>
        </w:rPr>
      </w:pPr>
      <w:hyperlink r:id="rId70" w:anchor="art10b" w:history="1">
        <w:r w:rsidR="00630D78" w:rsidRPr="00630D78">
          <w:rPr>
            <w:rFonts w:cs="Arial"/>
            <w:szCs w:val="24"/>
          </w:rPr>
          <w:t>“Art. 10-B.</w:t>
        </w:r>
      </w:hyperlink>
      <w:r w:rsidR="00630D78" w:rsidRPr="00630D78">
        <w:rPr>
          <w:rFonts w:cs="Arial"/>
          <w:szCs w:val="24"/>
        </w:rPr>
        <w:t xml:space="preserve"> A entidade responsável pelo sistema eletrônico de escrituração de que trata o art. 10-A expedirá, mediante solicitação, certidão de inteiro teor do título, inclusive para fins de protesto e de execução judicial.</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A certidão de que trata o </w:t>
      </w:r>
      <w:r w:rsidRPr="00630D78">
        <w:rPr>
          <w:rFonts w:cs="Arial"/>
          <w:b/>
          <w:szCs w:val="24"/>
        </w:rPr>
        <w:t>caput</w:t>
      </w:r>
      <w:r w:rsidRPr="00630D78">
        <w:rPr>
          <w:rFonts w:cs="Arial"/>
          <w:szCs w:val="24"/>
        </w:rPr>
        <w:t xml:space="preserve"> poderá ser emitida na forma eletrônica, observados os requisitos de segurança que garantam a autenticidade e a integridade do documento.” (NR)</w:t>
      </w:r>
    </w:p>
    <w:p w:rsidR="00630D78" w:rsidRPr="00630D78" w:rsidRDefault="009920DB" w:rsidP="00630D78">
      <w:pPr>
        <w:pStyle w:val="Recuodecorpodetexto2"/>
        <w:spacing w:after="200"/>
        <w:ind w:left="720" w:firstLine="1548"/>
        <w:rPr>
          <w:rFonts w:cs="Arial"/>
          <w:szCs w:val="24"/>
        </w:rPr>
      </w:pPr>
      <w:hyperlink r:id="rId71" w:anchor="art10c" w:history="1">
        <w:r w:rsidR="00630D78" w:rsidRPr="00630D78">
          <w:rPr>
            <w:rFonts w:cs="Arial"/>
            <w:szCs w:val="24"/>
          </w:rPr>
          <w:t>“Art. 10-C</w:t>
        </w:r>
      </w:hyperlink>
      <w:r w:rsidR="00630D78" w:rsidRPr="00630D78">
        <w:rPr>
          <w:rFonts w:cs="Arial"/>
          <w:szCs w:val="24"/>
        </w:rPr>
        <w:t>. O Banco Central do Brasil poderá regulamentar aspectos relativos à emissão, à negociação e à liquidação da Cédula de Crédito Rural emitida sob a forma escritural.” (NR)</w:t>
      </w:r>
    </w:p>
    <w:p w:rsidR="00630D78" w:rsidRPr="00630D78" w:rsidRDefault="009920DB" w:rsidP="00630D78">
      <w:pPr>
        <w:pStyle w:val="Recuodecorpodetexto2"/>
        <w:spacing w:after="200"/>
        <w:ind w:left="720" w:firstLine="1548"/>
        <w:rPr>
          <w:rFonts w:cs="Arial"/>
          <w:szCs w:val="24"/>
        </w:rPr>
      </w:pPr>
      <w:hyperlink r:id="rId72" w:anchor="art10d" w:history="1">
        <w:r w:rsidR="00630D78" w:rsidRPr="00630D78">
          <w:rPr>
            <w:rFonts w:cs="Arial"/>
            <w:szCs w:val="24"/>
          </w:rPr>
          <w:t>“Art. 10-D.</w:t>
        </w:r>
      </w:hyperlink>
      <w:r w:rsidR="00630D78" w:rsidRPr="00630D78">
        <w:rPr>
          <w:rFonts w:cs="Arial"/>
          <w:szCs w:val="24"/>
        </w:rPr>
        <w:t xml:space="preserve"> O sistema eletrônico de escrituração, de que trata o </w:t>
      </w:r>
      <w:r w:rsidR="00630D78" w:rsidRPr="00630D78">
        <w:rPr>
          <w:rFonts w:cs="Arial"/>
          <w:b/>
          <w:szCs w:val="24"/>
        </w:rPr>
        <w:t>caput</w:t>
      </w:r>
      <w:r w:rsidR="00630D78" w:rsidRPr="00630D78">
        <w:rPr>
          <w:rFonts w:cs="Arial"/>
          <w:szCs w:val="24"/>
        </w:rPr>
        <w:t xml:space="preserve"> do art. 10-A fará constar:</w:t>
      </w:r>
    </w:p>
    <w:p w:rsidR="00630D78" w:rsidRPr="00630D78" w:rsidRDefault="00630D78" w:rsidP="00630D78">
      <w:pPr>
        <w:pStyle w:val="Recuodecorpodetexto2"/>
        <w:spacing w:after="200"/>
        <w:ind w:left="720" w:firstLine="1548"/>
        <w:rPr>
          <w:rFonts w:cs="Arial"/>
          <w:szCs w:val="24"/>
        </w:rPr>
      </w:pPr>
      <w:r w:rsidRPr="00630D78">
        <w:rPr>
          <w:rFonts w:cs="Arial"/>
          <w:szCs w:val="24"/>
        </w:rPr>
        <w:t>I - os requisitos essenciais do título;</w:t>
      </w:r>
    </w:p>
    <w:p w:rsidR="00630D78" w:rsidRPr="00630D78" w:rsidRDefault="00630D78" w:rsidP="00630D78">
      <w:pPr>
        <w:pStyle w:val="Recuodecorpodetexto2"/>
        <w:spacing w:after="200"/>
        <w:ind w:left="720" w:firstLine="1548"/>
        <w:rPr>
          <w:rFonts w:cs="Arial"/>
          <w:szCs w:val="24"/>
        </w:rPr>
      </w:pPr>
      <w:r w:rsidRPr="00630D78">
        <w:rPr>
          <w:rFonts w:cs="Arial"/>
          <w:szCs w:val="24"/>
        </w:rPr>
        <w:t>II - o endosso e respectiva cadeia de endossos, se houver;</w:t>
      </w:r>
    </w:p>
    <w:p w:rsidR="00630D78" w:rsidRPr="00630D78" w:rsidRDefault="00630D78" w:rsidP="00630D78">
      <w:pPr>
        <w:pStyle w:val="Recuodecorpodetexto2"/>
        <w:spacing w:after="200"/>
        <w:ind w:left="720" w:firstLine="1548"/>
        <w:rPr>
          <w:rFonts w:cs="Arial"/>
          <w:szCs w:val="24"/>
        </w:rPr>
      </w:pPr>
      <w:r w:rsidRPr="00630D78">
        <w:rPr>
          <w:rFonts w:cs="Arial"/>
          <w:szCs w:val="24"/>
        </w:rPr>
        <w:t>III – a forma de pagamento ajustada no título;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IV - os aditamentos, as ratificações e as retificações de que trata o art. 12; </w:t>
      </w:r>
    </w:p>
    <w:p w:rsidR="00630D78" w:rsidRPr="00630D78" w:rsidRDefault="00630D78" w:rsidP="00630D78">
      <w:pPr>
        <w:pStyle w:val="Recuodecorpodetexto2"/>
        <w:spacing w:after="200"/>
        <w:ind w:left="720" w:firstLine="1548"/>
        <w:rPr>
          <w:rFonts w:cs="Arial"/>
          <w:szCs w:val="24"/>
        </w:rPr>
      </w:pPr>
      <w:r w:rsidRPr="00630D78">
        <w:rPr>
          <w:rFonts w:cs="Arial"/>
          <w:szCs w:val="24"/>
        </w:rPr>
        <w:t>V - a inclusão de notificações, de cláusulas contratuais, de informações ou de outras declarações referentes à cédula de crédito rural; e</w:t>
      </w:r>
    </w:p>
    <w:p w:rsidR="00630D78" w:rsidRPr="00630D78" w:rsidRDefault="00630D78" w:rsidP="00630D78">
      <w:pPr>
        <w:pStyle w:val="Recuodecorpodetexto2"/>
        <w:spacing w:after="200"/>
        <w:ind w:left="720" w:firstLine="1548"/>
        <w:rPr>
          <w:rFonts w:cs="Arial"/>
          <w:szCs w:val="24"/>
        </w:rPr>
      </w:pPr>
      <w:r w:rsidRPr="00630D78">
        <w:rPr>
          <w:rFonts w:cs="Arial"/>
          <w:szCs w:val="24"/>
        </w:rPr>
        <w:t>VI – as ocorrências de pagamento, se houver.</w:t>
      </w:r>
    </w:p>
    <w:p w:rsidR="00630D78" w:rsidRPr="00630D78" w:rsidRDefault="00630D78" w:rsidP="00630D78">
      <w:pPr>
        <w:pStyle w:val="Recuodecorpodetexto2"/>
        <w:spacing w:after="200"/>
        <w:ind w:left="720" w:firstLine="1548"/>
        <w:rPr>
          <w:rFonts w:cs="Arial"/>
          <w:szCs w:val="24"/>
        </w:rPr>
      </w:pPr>
      <w:r w:rsidRPr="00630D78">
        <w:rPr>
          <w:rFonts w:cs="Arial"/>
          <w:szCs w:val="24"/>
        </w:rPr>
        <w:t>Parágrafo único. Na hipótese de serem constituídos garantias e quaisquer outros gravames e ônus, tais ocorrências serão informadas no sistema de que trata o art. 10-A.”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14.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73" w:anchor="art14ix" w:history="1">
        <w:r w:rsidR="00630D78" w:rsidRPr="00630D78">
          <w:rPr>
            <w:rFonts w:cs="Arial"/>
            <w:szCs w:val="24"/>
          </w:rPr>
          <w:t>IX -</w:t>
        </w:r>
      </w:hyperlink>
      <w:r w:rsidR="00630D78" w:rsidRPr="00630D78">
        <w:rPr>
          <w:rFonts w:cs="Arial"/>
          <w:szCs w:val="24"/>
        </w:rPr>
        <w:t xml:space="preserve"> assinatura do emitente ou de representante com poderes especiais, admitida a assinatura sob a forma eletrônica, desde que garantida a identificação inequívoca de seu signatário.</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3º. Além dos requisitos previstos neste dispositivo, é vedado ao registrador exigir qualquer outro documento complementar, tais como avaliação do bem ofertado em garantia, anotação de responsabilidade técnica, reconhecimento de firma ou sinal público.</w:t>
      </w:r>
    </w:p>
    <w:p w:rsidR="00630D78" w:rsidRPr="00630D78" w:rsidRDefault="00630D78" w:rsidP="00630D78">
      <w:pPr>
        <w:pStyle w:val="Recuodecorpodetexto2"/>
        <w:spacing w:after="200"/>
        <w:ind w:left="720" w:firstLine="1548"/>
        <w:rPr>
          <w:rFonts w:cs="Arial"/>
          <w:szCs w:val="24"/>
        </w:rPr>
      </w:pPr>
      <w:r w:rsidRPr="00630D78">
        <w:rPr>
          <w:rFonts w:cs="Arial"/>
          <w:szCs w:val="24"/>
        </w:rPr>
        <w:t>§ 4º. É inexigível a apresentação de Certidão Negativa de Débito (CND) para comprovação da quitação de créditos tributários, de contribuições federais e de outras imposições pecuniárias compulsórias para o registro de operações financeiras.</w:t>
      </w:r>
    </w:p>
    <w:p w:rsidR="00630D78" w:rsidRPr="00630D78" w:rsidRDefault="00630D78" w:rsidP="00630D78">
      <w:pPr>
        <w:pStyle w:val="Recuodecorpodetexto2"/>
        <w:spacing w:after="200"/>
        <w:ind w:left="720" w:firstLine="1548"/>
        <w:rPr>
          <w:rFonts w:cs="Arial"/>
          <w:szCs w:val="24"/>
        </w:rPr>
      </w:pPr>
      <w:r w:rsidRPr="00630D78">
        <w:rPr>
          <w:rFonts w:cs="Arial"/>
          <w:szCs w:val="24"/>
        </w:rPr>
        <w:t>§ 5º. É vedado negar o registro do título na hipótese em que o valor da garantia seja inferior ao crédito liberado.</w:t>
      </w:r>
    </w:p>
    <w:p w:rsidR="00630D78" w:rsidRPr="00630D78" w:rsidRDefault="00630D78" w:rsidP="00630D78">
      <w:pPr>
        <w:pStyle w:val="Recuodecorpodetexto2"/>
        <w:spacing w:after="200"/>
        <w:ind w:left="720" w:firstLine="1548"/>
        <w:rPr>
          <w:rFonts w:cs="Arial"/>
          <w:szCs w:val="24"/>
        </w:rPr>
      </w:pPr>
      <w:r w:rsidRPr="00630D78">
        <w:rPr>
          <w:rFonts w:cs="Arial"/>
          <w:szCs w:val="24"/>
        </w:rPr>
        <w:t>§ 6º. As disposições dos §§ 3º, 4º e 5º se aplicam às demais cédulas e instrumentos vinculados a financiamentos rurais.”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19. Aplicam-se ao penhor constituído pela cédula rural pignoratícia as disposições das Leis n</w:t>
      </w:r>
      <w:r w:rsidRPr="00630D78">
        <w:rPr>
          <w:rFonts w:cs="Arial"/>
          <w:szCs w:val="24"/>
          <w:vertAlign w:val="superscript"/>
        </w:rPr>
        <w:t>os</w:t>
      </w:r>
      <w:r w:rsidRPr="00630D78">
        <w:rPr>
          <w:rFonts w:cs="Arial"/>
          <w:szCs w:val="24"/>
        </w:rPr>
        <w:t xml:space="preserve"> 10.406, de 10 de janeiro de 2002 (Código Civil); 492, de 30 de agosto de 1937; e 2.666, de 6 de dezembro de 1955, bem como os preceitos legais vigentes relativos a penhor rural e mercantil no que não colidirem com o presente Decreto-Lei. “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20.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74" w:anchor="art20ix" w:history="1">
        <w:r w:rsidR="00630D78" w:rsidRPr="00630D78">
          <w:rPr>
            <w:rFonts w:cs="Arial"/>
            <w:szCs w:val="24"/>
          </w:rPr>
          <w:t>IX -</w:t>
        </w:r>
      </w:hyperlink>
      <w:r w:rsidR="00630D78" w:rsidRPr="00630D78">
        <w:rPr>
          <w:rFonts w:cs="Arial"/>
          <w:szCs w:val="24"/>
        </w:rPr>
        <w:t xml:space="preserve"> assinatura do emitente ou de representante com poderes especiais, admitida a assinatura sob a forma eletrônica, desde que garantida a identificação inequívoca de seu signatário.</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25.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75" w:anchor="art25x" w:history="1">
        <w:r w:rsidR="00630D78" w:rsidRPr="00630D78">
          <w:rPr>
            <w:rFonts w:cs="Arial"/>
            <w:szCs w:val="24"/>
          </w:rPr>
          <w:t>X -</w:t>
        </w:r>
      </w:hyperlink>
      <w:r w:rsidR="00630D78" w:rsidRPr="00630D78">
        <w:rPr>
          <w:rFonts w:cs="Arial"/>
          <w:szCs w:val="24"/>
        </w:rPr>
        <w:t xml:space="preserve"> assinatura do emitente ou de representante com poderes especiais, admitida a assinatura sob a forma eletrônica, desde que garantida a identificação inequívoca de seu signatário.”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27.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76" w:anchor="art27viii" w:history="1">
        <w:r w:rsidR="00630D78" w:rsidRPr="00630D78">
          <w:rPr>
            <w:rFonts w:cs="Arial"/>
            <w:szCs w:val="24"/>
          </w:rPr>
          <w:t>VIII -</w:t>
        </w:r>
      </w:hyperlink>
      <w:r w:rsidR="00630D78" w:rsidRPr="00630D78">
        <w:rPr>
          <w:rFonts w:cs="Arial"/>
          <w:szCs w:val="24"/>
        </w:rPr>
        <w:t xml:space="preserve"> assinatura do emitente ou de representante com poderes especiais, admitida a assinatura sob a forma eletrônica, desde que garantida a identificação inequívoca de seu signatário.”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42. .................................</w:t>
      </w:r>
    </w:p>
    <w:p w:rsidR="00630D78" w:rsidRPr="00630D78" w:rsidRDefault="009920DB" w:rsidP="00630D78">
      <w:pPr>
        <w:pStyle w:val="Recuodecorpodetexto2"/>
        <w:spacing w:after="200"/>
        <w:ind w:left="720" w:firstLine="1548"/>
        <w:rPr>
          <w:rFonts w:cs="Arial"/>
          <w:szCs w:val="24"/>
        </w:rPr>
      </w:pPr>
      <w:hyperlink r:id="rId77" w:anchor="art42%C2%A71" w:history="1">
        <w:r w:rsidR="00630D78" w:rsidRPr="00630D78">
          <w:rPr>
            <w:rFonts w:cs="Arial"/>
            <w:szCs w:val="24"/>
          </w:rPr>
          <w:t>§ 1º</w:t>
        </w:r>
      </w:hyperlink>
      <w:r w:rsidR="00630D78" w:rsidRPr="00630D78">
        <w:rPr>
          <w:rFonts w:cs="Arial"/>
          <w:szCs w:val="24"/>
        </w:rPr>
        <w:t xml:space="preserve"> A nota promissória rural poderá ser emitida sob a forma escritural, mediante lançamento em sistema eletrônico de escrituração, observado, no que couber, o disposto nos arts. 10-A, 10-B, 10-C e10-D.</w:t>
      </w:r>
    </w:p>
    <w:p w:rsidR="00630D78" w:rsidRPr="00630D78" w:rsidRDefault="00630D78" w:rsidP="00630D78">
      <w:pPr>
        <w:pStyle w:val="Recuodecorpodetexto2"/>
        <w:spacing w:after="200"/>
        <w:ind w:left="720" w:firstLine="1548"/>
        <w:rPr>
          <w:rFonts w:cs="Arial"/>
          <w:szCs w:val="24"/>
        </w:rPr>
      </w:pPr>
      <w:r w:rsidRPr="00630D78">
        <w:rPr>
          <w:rFonts w:cs="Arial"/>
          <w:szCs w:val="24"/>
        </w:rPr>
        <w:t>§ 2º A nota promissória rural emitida pelas cooperativas de produção agropecuária a favor de seus cooperados, ao receberem produtos entregues por estes, constitui promessa de pagamento representativa de adiantamento por conta do preço dos produtos recebidos para venda.”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43.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78" w:anchor="art43viii" w:history="1">
        <w:r w:rsidR="00630D78" w:rsidRPr="00630D78">
          <w:rPr>
            <w:rFonts w:cs="Arial"/>
            <w:szCs w:val="24"/>
          </w:rPr>
          <w:t>VIII -</w:t>
        </w:r>
      </w:hyperlink>
      <w:r w:rsidR="00630D78" w:rsidRPr="00630D78">
        <w:rPr>
          <w:rFonts w:cs="Arial"/>
          <w:szCs w:val="24"/>
        </w:rPr>
        <w:t xml:space="preserve"> assinatura do emitente ou de representante com poderes especiais, admitida a assinatura sob a forma eletrônica, desde que garantida a identificação inequívoca do signatário.”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46. .................................</w:t>
      </w:r>
    </w:p>
    <w:p w:rsidR="00630D78" w:rsidRPr="00630D78" w:rsidRDefault="009920DB" w:rsidP="00630D78">
      <w:pPr>
        <w:pStyle w:val="Recuodecorpodetexto2"/>
        <w:spacing w:after="200"/>
        <w:ind w:left="720" w:firstLine="1548"/>
        <w:rPr>
          <w:rFonts w:cs="Arial"/>
          <w:szCs w:val="24"/>
        </w:rPr>
      </w:pPr>
      <w:hyperlink r:id="rId79" w:anchor="art46p" w:history="1">
        <w:r w:rsidR="00630D78" w:rsidRPr="00630D78">
          <w:rPr>
            <w:rFonts w:cs="Arial"/>
            <w:szCs w:val="24"/>
          </w:rPr>
          <w:t>Parágrafo único</w:t>
        </w:r>
      </w:hyperlink>
      <w:r w:rsidR="00630D78" w:rsidRPr="00630D78">
        <w:rPr>
          <w:rFonts w:cs="Arial"/>
          <w:szCs w:val="24"/>
        </w:rPr>
        <w:t>. A duplicata rural poderá ser emitida sob a forma escritural, mediante lançamento em sistema eletrônico de escrituração, observado, no que couber, o disposto nos art. 10-A, art. 10-B, art. 10-C e art. 10-D.”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48.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9920DB" w:rsidP="00630D78">
      <w:pPr>
        <w:pStyle w:val="Recuodecorpodetexto2"/>
        <w:spacing w:after="200"/>
        <w:ind w:left="720" w:firstLine="1548"/>
        <w:rPr>
          <w:rFonts w:cs="Arial"/>
          <w:szCs w:val="24"/>
        </w:rPr>
      </w:pPr>
      <w:hyperlink r:id="rId80" w:anchor="art48xi" w:history="1">
        <w:r w:rsidR="00630D78" w:rsidRPr="00630D78">
          <w:rPr>
            <w:rFonts w:cs="Arial"/>
            <w:szCs w:val="24"/>
          </w:rPr>
          <w:t>XI -</w:t>
        </w:r>
      </w:hyperlink>
      <w:r w:rsidR="00630D78" w:rsidRPr="00630D78">
        <w:rPr>
          <w:rFonts w:cs="Arial"/>
          <w:szCs w:val="24"/>
        </w:rPr>
        <w:t xml:space="preserve"> assinatura do emitente ou de representante com poderes especiais, admitida a assinatura sob a forma eletrônica, desde que garantida a identificação inequívoca de seu signatário.” (NR)</w:t>
      </w:r>
    </w:p>
    <w:p w:rsidR="00630D78" w:rsidRPr="00630D78" w:rsidRDefault="009920DB" w:rsidP="00630D78">
      <w:pPr>
        <w:pStyle w:val="Recuodecorpodetexto2"/>
        <w:spacing w:after="200"/>
        <w:ind w:left="720" w:firstLine="1548"/>
        <w:rPr>
          <w:rFonts w:cs="Arial"/>
          <w:szCs w:val="24"/>
        </w:rPr>
      </w:pPr>
      <w:hyperlink r:id="rId81" w:anchor="art51." w:history="1">
        <w:r w:rsidR="00630D78" w:rsidRPr="00630D78">
          <w:rPr>
            <w:rFonts w:cs="Arial"/>
            <w:szCs w:val="24"/>
          </w:rPr>
          <w:t>“Art. 51.</w:t>
        </w:r>
      </w:hyperlink>
      <w:r w:rsidR="00630D78" w:rsidRPr="00630D78">
        <w:rPr>
          <w:rFonts w:cs="Arial"/>
          <w:szCs w:val="24"/>
        </w:rPr>
        <w:t xml:space="preserve"> Na hipótese de a duplicata rural não ser paga à vista, o comprador deverá devolvê-la ao apresentante no prazo de dez dias, contado da data de apresentação, devidamente assinada ou acompanhada de declaração, que conterá as razões de sua recusa.</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9920DB" w:rsidP="00630D78">
      <w:pPr>
        <w:pStyle w:val="Recuodecorpodetexto2"/>
        <w:spacing w:after="200"/>
        <w:ind w:left="720" w:firstLine="1548"/>
        <w:rPr>
          <w:rFonts w:cs="Arial"/>
          <w:szCs w:val="24"/>
        </w:rPr>
      </w:pPr>
      <w:hyperlink r:id="rId82" w:anchor="art65." w:history="1">
        <w:r w:rsidR="00630D78" w:rsidRPr="00630D78">
          <w:rPr>
            <w:rFonts w:cs="Arial"/>
            <w:szCs w:val="24"/>
          </w:rPr>
          <w:t>“Art. 65.</w:t>
        </w:r>
      </w:hyperlink>
      <w:r w:rsidR="00630D78" w:rsidRPr="00630D78">
        <w:rPr>
          <w:rFonts w:cs="Arial"/>
          <w:szCs w:val="24"/>
        </w:rPr>
        <w:t xml:space="preserve"> Na hipótese de redução do valor dos bens oferecidos em garantia, o emitente reforçará a garantia por meio de suporte cartular ou escritural, no prazo de quinze dias, contado da data de recebimento da notificação por escrito que o credor lhe fizer.</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71. Em caso de cobrança em processo contencioso ou não, judicial ou administrativo, o emitente da cédula de crédito rural, da nota promissória rural ou o aceitante da duplicata rural responderá ainda pela multa de até 2% (dois por cento) sobre o principal e acessórios em débito, devida a partir do primeiro despacho da autoridade competente na petição de cobrança ou de habilitação de crédito” (NR)</w:t>
      </w:r>
    </w:p>
    <w:p w:rsidR="00630D78" w:rsidRPr="00630D78" w:rsidRDefault="00630D78" w:rsidP="00630D78">
      <w:pPr>
        <w:pStyle w:val="Recuodecorpodetexto2"/>
        <w:spacing w:after="200"/>
        <w:ind w:firstLine="2302"/>
        <w:rPr>
          <w:rFonts w:cs="Arial"/>
          <w:szCs w:val="24"/>
        </w:rPr>
      </w:pPr>
      <w:bookmarkStart w:id="37" w:name="art42"/>
      <w:bookmarkEnd w:id="37"/>
      <w:r w:rsidRPr="00630D78">
        <w:rPr>
          <w:rFonts w:cs="Arial"/>
          <w:b/>
          <w:szCs w:val="24"/>
        </w:rPr>
        <w:t>Art. 46.</w:t>
      </w:r>
      <w:r w:rsidRPr="00630D78">
        <w:rPr>
          <w:rFonts w:cs="Arial"/>
          <w:szCs w:val="24"/>
        </w:rPr>
        <w:t xml:space="preserve"> A </w:t>
      </w:r>
      <w:hyperlink r:id="rId83" w:history="1">
        <w:r w:rsidRPr="00630D78">
          <w:rPr>
            <w:rFonts w:cs="Arial"/>
            <w:szCs w:val="24"/>
          </w:rPr>
          <w:t>Lei nº 12.865, de 9 de outubro de 2013</w:t>
        </w:r>
      </w:hyperlink>
      <w:r w:rsidRPr="00630D78">
        <w:rPr>
          <w:rFonts w:cs="Arial"/>
          <w:szCs w:val="24"/>
        </w:rPr>
        <w:t>, passa a vigorar com as seguintes alterações:</w:t>
      </w:r>
    </w:p>
    <w:p w:rsidR="00630D78" w:rsidRPr="00630D78" w:rsidRDefault="00630D78" w:rsidP="00630D78">
      <w:pPr>
        <w:pStyle w:val="Recuodecorpodetexto2"/>
        <w:spacing w:after="200"/>
        <w:ind w:firstLine="2302"/>
        <w:rPr>
          <w:rFonts w:cs="Arial"/>
          <w:szCs w:val="24"/>
        </w:rPr>
      </w:pPr>
      <w:r w:rsidRPr="00630D78">
        <w:rPr>
          <w:rFonts w:cs="Arial"/>
          <w:szCs w:val="24"/>
        </w:rPr>
        <w:t>“Art. 23. .................................</w:t>
      </w:r>
    </w:p>
    <w:p w:rsidR="00630D78" w:rsidRPr="00630D78" w:rsidRDefault="009920DB" w:rsidP="00630D78">
      <w:pPr>
        <w:pStyle w:val="Recuodecorpodetexto2"/>
        <w:spacing w:after="200"/>
        <w:ind w:firstLine="2302"/>
        <w:rPr>
          <w:rFonts w:cs="Arial"/>
          <w:szCs w:val="24"/>
        </w:rPr>
      </w:pPr>
      <w:hyperlink r:id="rId84" w:anchor="art23%C2%A71." w:history="1">
        <w:r w:rsidR="00630D78" w:rsidRPr="00630D78">
          <w:rPr>
            <w:rFonts w:cs="Arial"/>
            <w:szCs w:val="24"/>
          </w:rPr>
          <w:t>§ 1º</w:t>
        </w:r>
      </w:hyperlink>
      <w:r w:rsidR="00630D78" w:rsidRPr="00630D78">
        <w:rPr>
          <w:rFonts w:cs="Arial"/>
          <w:szCs w:val="24"/>
        </w:rPr>
        <w:t xml:space="preserve"> As normas de que trata o </w:t>
      </w:r>
      <w:r w:rsidR="00630D78" w:rsidRPr="00630D78">
        <w:rPr>
          <w:rFonts w:cs="Arial"/>
          <w:b/>
          <w:szCs w:val="24"/>
        </w:rPr>
        <w:t>caput</w:t>
      </w:r>
      <w:r w:rsidR="00630D78" w:rsidRPr="00630D78">
        <w:rPr>
          <w:rFonts w:cs="Arial"/>
          <w:szCs w:val="24"/>
        </w:rPr>
        <w:t xml:space="preserve"> disporão sobre o conjunto de procedimentos e operações técnicas referentes à produção, à classificação, à tramitação, ao uso, à avaliação, ao arquivamento, à reprodução e ao acesso ao documento digitalizado, observado o disposto nos art. 7º ao art. 10 da Lei nº 8.159, de 8 de janeiro de 1991, quando se tratar de documentos públicos.</w:t>
      </w:r>
    </w:p>
    <w:p w:rsidR="00630D78" w:rsidRPr="00630D78" w:rsidRDefault="00630D78" w:rsidP="00630D78">
      <w:pPr>
        <w:pStyle w:val="Recuodecorpodetexto2"/>
        <w:spacing w:after="200"/>
        <w:ind w:firstLine="2302"/>
        <w:rPr>
          <w:rFonts w:cs="Arial"/>
          <w:szCs w:val="24"/>
        </w:rPr>
      </w:pPr>
      <w:r w:rsidRPr="00630D78">
        <w:rPr>
          <w:rFonts w:cs="Arial"/>
          <w:szCs w:val="24"/>
        </w:rPr>
        <w:t>§ 2º O documento que, observadas as normas do Conselho Monetário Nacional, tenha originado o documento digitalizado e armazenado eletronicamente poderá ser descartado, ressalvados os documentos para os quais lei específica exija a guarda do documento original para o exercício de direito.” (NR)</w:t>
      </w:r>
    </w:p>
    <w:p w:rsidR="00630D78" w:rsidRPr="00630D78" w:rsidRDefault="00630D78" w:rsidP="00630D78">
      <w:pPr>
        <w:pStyle w:val="Recuodecorpodetexto2"/>
        <w:spacing w:after="200"/>
        <w:ind w:firstLine="2302"/>
        <w:rPr>
          <w:rFonts w:cs="Arial"/>
          <w:szCs w:val="24"/>
        </w:rPr>
      </w:pP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IX</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DA SUBVENÇÃO ECONÔMICA PARA EMPRESAS CEREALISTAS</w:t>
      </w:r>
    </w:p>
    <w:p w:rsidR="00630D78" w:rsidRPr="00630D78" w:rsidRDefault="00630D78" w:rsidP="00630D78">
      <w:pPr>
        <w:pStyle w:val="Recuodecorpodetexto2"/>
        <w:keepNext/>
        <w:spacing w:after="200"/>
        <w:ind w:firstLine="0"/>
        <w:jc w:val="center"/>
        <w:rPr>
          <w:rFonts w:cs="Arial"/>
          <w:b/>
          <w:szCs w:val="24"/>
        </w:rPr>
      </w:pPr>
    </w:p>
    <w:p w:rsidR="00630D78" w:rsidRPr="00630D78" w:rsidRDefault="00630D78" w:rsidP="00630D78">
      <w:pPr>
        <w:pStyle w:val="Recuodecorpodetexto2"/>
        <w:keepNext/>
        <w:spacing w:after="200"/>
        <w:ind w:firstLine="2302"/>
        <w:rPr>
          <w:rFonts w:cs="Arial"/>
          <w:szCs w:val="24"/>
        </w:rPr>
      </w:pPr>
      <w:bookmarkStart w:id="38" w:name="art43"/>
      <w:bookmarkEnd w:id="38"/>
      <w:r w:rsidRPr="00630D78">
        <w:rPr>
          <w:rFonts w:cs="Arial"/>
          <w:b/>
          <w:szCs w:val="24"/>
        </w:rPr>
        <w:t xml:space="preserve">Art. 47. </w:t>
      </w:r>
      <w:r w:rsidRPr="00630D78">
        <w:rPr>
          <w:rFonts w:cs="Arial"/>
          <w:szCs w:val="24"/>
        </w:rPr>
        <w:t>Fica a União autorizada a conceder subvenção econômica em benefício das empresas cerealistas, sob a modalidade de equalização de taxas de juros, nas operações de financiamento a serem contratadas com o Banco Nacional de Desenvolvimento Econômico e Social – BNDES até 30 de junho de 2021.</w:t>
      </w:r>
    </w:p>
    <w:p w:rsidR="00630D78" w:rsidRPr="00630D78" w:rsidRDefault="00630D78" w:rsidP="00630D78">
      <w:pPr>
        <w:pStyle w:val="Recuodecorpodetexto2"/>
        <w:spacing w:after="200"/>
        <w:ind w:firstLine="2302"/>
        <w:rPr>
          <w:rFonts w:cs="Arial"/>
          <w:szCs w:val="24"/>
        </w:rPr>
      </w:pPr>
      <w:r w:rsidRPr="00630D78">
        <w:rPr>
          <w:rFonts w:cs="Arial"/>
          <w:szCs w:val="24"/>
        </w:rPr>
        <w:t>§ 1º As operações de financiamento serão destinadas a investimentos em obras civis e na aquisição de máquinas e equipamentos necessários à construção de armazéns e à expansão da capacidade de armazenagem de grãos.</w:t>
      </w:r>
    </w:p>
    <w:p w:rsidR="00630D78" w:rsidRPr="00630D78" w:rsidRDefault="00630D78" w:rsidP="00630D78">
      <w:pPr>
        <w:pStyle w:val="Recuodecorpodetexto2"/>
        <w:spacing w:after="200"/>
        <w:ind w:firstLine="2302"/>
        <w:rPr>
          <w:rFonts w:cs="Arial"/>
          <w:szCs w:val="24"/>
        </w:rPr>
      </w:pPr>
      <w:r w:rsidRPr="00630D78">
        <w:rPr>
          <w:rFonts w:cs="Arial"/>
          <w:szCs w:val="24"/>
        </w:rPr>
        <w:t>§ 2º O valor total dos financiamentos a serem subvencionados pela União fica limitado ao montante de R$ 200.000.000,00 (duzentos milhões de reais).</w:t>
      </w:r>
    </w:p>
    <w:p w:rsidR="00630D78" w:rsidRPr="00630D78" w:rsidRDefault="00630D78" w:rsidP="00630D78">
      <w:pPr>
        <w:pStyle w:val="Recuodecorpodetexto2"/>
        <w:spacing w:after="200"/>
        <w:ind w:firstLine="2302"/>
        <w:rPr>
          <w:rFonts w:cs="Arial"/>
          <w:szCs w:val="24"/>
        </w:rPr>
      </w:pPr>
      <w:r w:rsidRPr="00630D78">
        <w:rPr>
          <w:rFonts w:cs="Arial"/>
          <w:szCs w:val="24"/>
        </w:rPr>
        <w:t>§ 3º A subvenção fica limitada a R$ 20.000.000,00 (vinte milhões de reais) por ano, respeitada a dotação orçamentária reservada para essa finalidade.</w:t>
      </w:r>
    </w:p>
    <w:p w:rsidR="00630D78" w:rsidRPr="00630D78" w:rsidRDefault="00630D78" w:rsidP="00630D78">
      <w:pPr>
        <w:pStyle w:val="Recuodecorpodetexto2"/>
        <w:spacing w:after="200"/>
        <w:ind w:firstLine="2302"/>
        <w:rPr>
          <w:rFonts w:cs="Arial"/>
          <w:szCs w:val="24"/>
        </w:rPr>
      </w:pPr>
      <w:r w:rsidRPr="00630D78">
        <w:rPr>
          <w:rFonts w:cs="Arial"/>
          <w:szCs w:val="24"/>
        </w:rPr>
        <w:t>§ 4º A equalização de juros corresponderá ao diferencial de taxas entre o custo da fonte dos recursos, acrescido da remuneração do BNDES, e o encargo cobrado do mutuário final.</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5º O pagamento da subvenção econômica de que trata o </w:t>
      </w:r>
      <w:r w:rsidRPr="00630D78">
        <w:rPr>
          <w:rFonts w:cs="Arial"/>
          <w:b/>
          <w:szCs w:val="24"/>
        </w:rPr>
        <w:t>caput</w:t>
      </w:r>
      <w:r w:rsidRPr="00630D78">
        <w:rPr>
          <w:rFonts w:cs="Arial"/>
          <w:szCs w:val="24"/>
        </w:rPr>
        <w:t xml:space="preserve"> fica condicionado à apresentação, pelo BNDES, de declaração de responsabilidade pela exatidão das informações necessárias ao cálculo da subvenção e pela regularidade da aplicação dos recursos, para fins do disposto no inciso II do § 1º do art. 63 da Lei nº 4.320, de 17 de março de 1964.</w:t>
      </w:r>
    </w:p>
    <w:p w:rsidR="00630D78" w:rsidRPr="00630D78" w:rsidRDefault="00630D78" w:rsidP="00630D78">
      <w:pPr>
        <w:pStyle w:val="Recuodecorpodetexto2"/>
        <w:spacing w:after="200"/>
        <w:ind w:firstLine="2302"/>
        <w:rPr>
          <w:rFonts w:cs="Arial"/>
          <w:szCs w:val="24"/>
        </w:rPr>
      </w:pPr>
      <w:r w:rsidRPr="00630D78">
        <w:rPr>
          <w:rFonts w:cs="Arial"/>
          <w:szCs w:val="24"/>
        </w:rPr>
        <w:t>§ 6º Na hipótese de os encargos cobrados do mutuário final do crédito excederem o custo de captação dos recursos, acrescido dos custos administrativos e tributários, o BNDES recolherá ao Tesouro Nacional o valor apurado, atualizado pelo índice que remunerar a captação dos recursos.</w:t>
      </w:r>
    </w:p>
    <w:p w:rsidR="00630D78" w:rsidRPr="00630D78" w:rsidRDefault="00630D78" w:rsidP="00630D78">
      <w:pPr>
        <w:pStyle w:val="Recuodecorpodetexto2"/>
        <w:spacing w:after="200"/>
        <w:ind w:firstLine="2302"/>
        <w:rPr>
          <w:rFonts w:cs="Arial"/>
          <w:szCs w:val="24"/>
        </w:rPr>
      </w:pPr>
      <w:bookmarkStart w:id="39" w:name="art44"/>
      <w:bookmarkEnd w:id="39"/>
      <w:r w:rsidRPr="00630D78">
        <w:rPr>
          <w:rFonts w:cs="Arial"/>
          <w:b/>
          <w:szCs w:val="24"/>
        </w:rPr>
        <w:t xml:space="preserve">Art. 48. </w:t>
      </w:r>
      <w:r w:rsidRPr="00630D78">
        <w:rPr>
          <w:rFonts w:cs="Arial"/>
          <w:szCs w:val="24"/>
        </w:rPr>
        <w:t>A aplicação irregular ou o desvio dos recursos provenientes das operações subvencionadas de que trata este Capítulo sujeitará o BNDES a devolver à União o valor da subvenção econômica, atualizado monetariamente pela taxa média referencial do Sistema Especial de Liquidação e de Custódia – Selic ou por outro índice que venha a substituí-la.</w:t>
      </w:r>
    </w:p>
    <w:p w:rsidR="00630D78" w:rsidRPr="00630D78" w:rsidRDefault="00630D78" w:rsidP="00630D78">
      <w:pPr>
        <w:pStyle w:val="Recuodecorpodetexto2"/>
        <w:spacing w:after="200"/>
        <w:ind w:firstLine="2302"/>
        <w:rPr>
          <w:rFonts w:cs="Arial"/>
          <w:szCs w:val="24"/>
        </w:rPr>
      </w:pPr>
      <w:r w:rsidRPr="00630D78">
        <w:rPr>
          <w:rFonts w:cs="Arial"/>
          <w:szCs w:val="24"/>
        </w:rPr>
        <w:t>§ 1º Quando o BNDES der causa ou concorrer, ainda que culposamente, à aplicação irregular, ao desvio dos recursos ou, ainda, à irregularidade no cálculo da subvenção, o valor da subvenção econômica, atualizado monetariamente na forma prevista no </w:t>
      </w:r>
      <w:r w:rsidRPr="00630D78">
        <w:rPr>
          <w:rFonts w:cs="Arial"/>
          <w:b/>
          <w:szCs w:val="24"/>
        </w:rPr>
        <w:t>caput</w:t>
      </w:r>
      <w:r w:rsidRPr="00630D78">
        <w:rPr>
          <w:rFonts w:cs="Arial"/>
          <w:szCs w:val="24"/>
        </w:rPr>
        <w:t>, será por ele devolvido em dobro, sem prejuízo das penalidades previstas na Lei nº 13.506, de 13 de novembro de 2017.</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2º Quando o mutuário final do crédito der causa à aplicação irregular ou ao desvio dos recursos, o BNDES devolverá o valor da subvenção econômica, atualizado monetariamente na forma prevista no </w:t>
      </w:r>
      <w:r w:rsidRPr="00630D78">
        <w:rPr>
          <w:rFonts w:cs="Arial"/>
          <w:b/>
          <w:szCs w:val="24"/>
        </w:rPr>
        <w:t>caput</w:t>
      </w:r>
      <w:r w:rsidRPr="00630D78">
        <w:rPr>
          <w:rFonts w:cs="Arial"/>
          <w:szCs w:val="24"/>
        </w:rPr>
        <w:t>, e o mutuário final do crédito ficará impedido de receber crédito subvencionado pelo prazo de cinco anos, contado da data em que ocorrer a devolução do valor da subvenção econômica pelo BNDES.</w:t>
      </w:r>
    </w:p>
    <w:p w:rsidR="00630D78" w:rsidRPr="00630D78" w:rsidRDefault="00630D78" w:rsidP="00630D78">
      <w:pPr>
        <w:pStyle w:val="Recuodecorpodetexto2"/>
        <w:spacing w:after="200"/>
        <w:ind w:firstLine="2302"/>
        <w:rPr>
          <w:rFonts w:cs="Arial"/>
          <w:szCs w:val="24"/>
        </w:rPr>
      </w:pPr>
      <w:bookmarkStart w:id="40" w:name="art45"/>
      <w:bookmarkEnd w:id="40"/>
      <w:r w:rsidRPr="00630D78">
        <w:rPr>
          <w:rFonts w:cs="Arial"/>
          <w:b/>
          <w:szCs w:val="24"/>
        </w:rPr>
        <w:t xml:space="preserve">Art. 49. </w:t>
      </w:r>
      <w:r w:rsidRPr="00630D78">
        <w:rPr>
          <w:rFonts w:cs="Arial"/>
          <w:szCs w:val="24"/>
        </w:rPr>
        <w:t>O Conselho Monetário Nacional estabelecerá as condições necessárias à contratação dos financiamentos de que trata este Capítulo.</w:t>
      </w:r>
    </w:p>
    <w:p w:rsidR="00630D78" w:rsidRDefault="00630D78" w:rsidP="00630D78">
      <w:pPr>
        <w:pStyle w:val="Recuodecorpodetexto2"/>
        <w:spacing w:after="200"/>
        <w:ind w:firstLine="2302"/>
        <w:rPr>
          <w:rFonts w:cs="Arial"/>
          <w:szCs w:val="24"/>
        </w:rPr>
      </w:pPr>
      <w:bookmarkStart w:id="41" w:name="art46"/>
      <w:bookmarkEnd w:id="41"/>
      <w:r w:rsidRPr="00630D78">
        <w:rPr>
          <w:rFonts w:cs="Arial"/>
          <w:b/>
          <w:szCs w:val="24"/>
        </w:rPr>
        <w:t xml:space="preserve">Art. 50. </w:t>
      </w:r>
      <w:r w:rsidRPr="00630D78">
        <w:rPr>
          <w:rFonts w:cs="Arial"/>
          <w:szCs w:val="24"/>
        </w:rPr>
        <w:t>Ato do Ministro de Estado da Economia definirá a metodologia para o pagamento do valor a ser apurado em decorrência da equalização das taxas de juros e as demais condições para a concessão da subvenção econômica de que trata este Capítulo.</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CAPÍTULO X</w:t>
      </w:r>
    </w:p>
    <w:p w:rsidR="00630D78" w:rsidRPr="00630D78" w:rsidRDefault="00630D78" w:rsidP="00630D78">
      <w:pPr>
        <w:pStyle w:val="Recuodecorpodetexto2"/>
        <w:keepNext/>
        <w:spacing w:after="200"/>
        <w:ind w:firstLine="0"/>
        <w:jc w:val="center"/>
        <w:rPr>
          <w:rFonts w:cs="Arial"/>
          <w:b/>
          <w:szCs w:val="24"/>
        </w:rPr>
      </w:pPr>
      <w:r w:rsidRPr="00630D78">
        <w:rPr>
          <w:rFonts w:cs="Arial"/>
          <w:b/>
          <w:szCs w:val="24"/>
        </w:rPr>
        <w:t>DA CENTRAL NACIONAL DE REGISTRO IMOBILIÁRIO</w:t>
      </w:r>
    </w:p>
    <w:p w:rsidR="00630D78" w:rsidRPr="00630D78" w:rsidRDefault="00630D78" w:rsidP="00630D78">
      <w:pPr>
        <w:pStyle w:val="Recuodecorpodetexto2"/>
        <w:keepNext/>
        <w:spacing w:after="200"/>
        <w:ind w:firstLine="2302"/>
        <w:rPr>
          <w:rFonts w:cs="Arial"/>
          <w:szCs w:val="24"/>
        </w:rPr>
      </w:pPr>
    </w:p>
    <w:p w:rsidR="00630D78" w:rsidRPr="00630D78" w:rsidRDefault="00630D78" w:rsidP="00630D78">
      <w:pPr>
        <w:pStyle w:val="Recuodecorpodetexto2"/>
        <w:keepNext/>
        <w:spacing w:after="200"/>
        <w:ind w:firstLine="2302"/>
        <w:rPr>
          <w:rFonts w:cs="Arial"/>
          <w:szCs w:val="24"/>
        </w:rPr>
      </w:pPr>
      <w:r w:rsidRPr="00630D78">
        <w:rPr>
          <w:rFonts w:cs="Arial"/>
          <w:b/>
          <w:szCs w:val="24"/>
        </w:rPr>
        <w:t>Art. 51.</w:t>
      </w:r>
      <w:r w:rsidRPr="00630D78">
        <w:rPr>
          <w:rFonts w:cs="Arial"/>
          <w:szCs w:val="24"/>
        </w:rPr>
        <w:t xml:space="preserve"> Os registradores de imóveis de todo território nacional instituirão, no prazo de 120 (cento e vinte dias), a Central Nacional de Registro de Imóveis que ficará responsável por centralizar as informações de registro imobiliário de todo o país, bem como dos títulos que constituam garantias reais ou criem direitos, restrições, gravames ou ônus relativos a bens imóveis e a padronização da documentação e os requisitos necessários para a constituição de cada tipo de garantia atendendo à forma deste Capítulo, podendo, ainda, atuar como entidade registradora ou depositária central, observado o disposto na legislação específica, inclusive quanto ao requisito de autorização prévia para o exercício da atividade de registro ou depósito pelo Banco Central do Brasil e aos demais requisitos previstos na regulamentação por ele editada.</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1º Além das funções indicadas no </w:t>
      </w:r>
      <w:r w:rsidRPr="00630D78">
        <w:rPr>
          <w:rFonts w:cs="Arial"/>
          <w:b/>
          <w:szCs w:val="24"/>
        </w:rPr>
        <w:t>caput</w:t>
      </w:r>
      <w:r w:rsidRPr="00630D78">
        <w:rPr>
          <w:rFonts w:cs="Arial"/>
          <w:szCs w:val="24"/>
        </w:rPr>
        <w:t xml:space="preserve"> do artigo, a Central Nacional de Registro de Imóveis prestará também os seguintes serviços eletrônicos:</w:t>
      </w:r>
    </w:p>
    <w:p w:rsidR="00630D78" w:rsidRPr="00630D78" w:rsidRDefault="00630D78" w:rsidP="00630D78">
      <w:pPr>
        <w:pStyle w:val="Recuodecorpodetexto2"/>
        <w:spacing w:after="200"/>
        <w:ind w:firstLine="2302"/>
        <w:rPr>
          <w:rFonts w:cs="Arial"/>
          <w:szCs w:val="24"/>
        </w:rPr>
      </w:pPr>
      <w:r w:rsidRPr="00630D78">
        <w:rPr>
          <w:rFonts w:cs="Arial"/>
          <w:szCs w:val="24"/>
        </w:rPr>
        <w:t>I – protocolo eletrônico de títulos;</w:t>
      </w:r>
    </w:p>
    <w:p w:rsidR="00630D78" w:rsidRPr="00630D78" w:rsidRDefault="00630D78" w:rsidP="00630D78">
      <w:pPr>
        <w:pStyle w:val="Recuodecorpodetexto2"/>
        <w:spacing w:after="200"/>
        <w:ind w:firstLine="2302"/>
        <w:rPr>
          <w:rFonts w:cs="Arial"/>
          <w:szCs w:val="24"/>
        </w:rPr>
      </w:pPr>
      <w:r w:rsidRPr="00630D78">
        <w:rPr>
          <w:rFonts w:cs="Arial"/>
          <w:szCs w:val="24"/>
        </w:rPr>
        <w:t>II – expedição de certidões e a prestação de informações em formato eletrônico;</w:t>
      </w:r>
    </w:p>
    <w:p w:rsidR="00630D78" w:rsidRPr="00630D78" w:rsidRDefault="00630D78" w:rsidP="00630D78">
      <w:pPr>
        <w:pStyle w:val="Recuodecorpodetexto2"/>
        <w:spacing w:after="200"/>
        <w:ind w:firstLine="2302"/>
        <w:rPr>
          <w:rFonts w:cs="Arial"/>
          <w:szCs w:val="24"/>
        </w:rPr>
      </w:pPr>
      <w:r w:rsidRPr="00630D78">
        <w:rPr>
          <w:rFonts w:cs="Arial"/>
          <w:szCs w:val="24"/>
        </w:rPr>
        <w:t>III – pesquisa eletrônica de bens imóveis e seus respectivos direitos e restrições averbados;</w:t>
      </w:r>
    </w:p>
    <w:p w:rsidR="00630D78" w:rsidRPr="00630D78" w:rsidRDefault="00630D78" w:rsidP="00630D78">
      <w:pPr>
        <w:pStyle w:val="Recuodecorpodetexto2"/>
        <w:spacing w:after="200"/>
        <w:ind w:firstLine="2302"/>
        <w:rPr>
          <w:rFonts w:cs="Arial"/>
          <w:szCs w:val="24"/>
        </w:rPr>
      </w:pPr>
      <w:r w:rsidRPr="00630D78">
        <w:rPr>
          <w:rFonts w:cs="Arial"/>
          <w:szCs w:val="24"/>
        </w:rPr>
        <w:t>IV – armazenamento de documentos eletrônicos para dar suporte aos atos registrais imobiliários;</w:t>
      </w:r>
    </w:p>
    <w:p w:rsidR="00630D78" w:rsidRPr="00630D78" w:rsidRDefault="00630D78" w:rsidP="00630D78">
      <w:pPr>
        <w:pStyle w:val="Recuodecorpodetexto2"/>
        <w:spacing w:after="200"/>
        <w:ind w:firstLine="2302"/>
        <w:rPr>
          <w:rFonts w:cs="Arial"/>
          <w:szCs w:val="24"/>
        </w:rPr>
      </w:pPr>
      <w:r w:rsidRPr="00630D78">
        <w:rPr>
          <w:rFonts w:cs="Arial"/>
          <w:szCs w:val="24"/>
        </w:rPr>
        <w:t>V – integração de todas as indisponibilidades de bens imóveis decretadas por magistrados e por autoridades administrativas;</w:t>
      </w:r>
    </w:p>
    <w:p w:rsidR="00630D78" w:rsidRPr="00630D78" w:rsidRDefault="00630D78" w:rsidP="00630D78">
      <w:pPr>
        <w:pStyle w:val="Recuodecorpodetexto2"/>
        <w:spacing w:after="200"/>
        <w:ind w:firstLine="2302"/>
        <w:rPr>
          <w:rFonts w:cs="Arial"/>
          <w:szCs w:val="24"/>
        </w:rPr>
      </w:pPr>
      <w:r w:rsidRPr="00630D78">
        <w:rPr>
          <w:rFonts w:cs="Arial"/>
          <w:szCs w:val="24"/>
        </w:rPr>
        <w:t>VI – consulta às informações relativas aos registros extrajudiciais vigentes de garantias, gravames, constrições judiciais e indisponibilidades de bens imóveis;</w:t>
      </w:r>
    </w:p>
    <w:p w:rsidR="00630D78" w:rsidRPr="00630D78" w:rsidRDefault="00630D78" w:rsidP="00630D78">
      <w:pPr>
        <w:pStyle w:val="Recuodecorpodetexto2"/>
        <w:spacing w:after="200"/>
        <w:ind w:firstLine="2302"/>
        <w:rPr>
          <w:rFonts w:cs="Arial"/>
          <w:szCs w:val="24"/>
        </w:rPr>
      </w:pPr>
      <w:r w:rsidRPr="00630D78">
        <w:rPr>
          <w:rFonts w:cs="Arial"/>
          <w:szCs w:val="24"/>
        </w:rPr>
        <w:t>VII – consulta às informações dos imóveis e negócios translativos da propriedade imobiliária, tais como preço, data, valor de referência para o imposto de transmissão, entre outros;</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VIII – divulgação de indicadores, estatísticas e dados da atividade registral; e </w:t>
      </w:r>
    </w:p>
    <w:p w:rsidR="00630D78" w:rsidRPr="00630D78" w:rsidRDefault="00630D78" w:rsidP="00630D78">
      <w:pPr>
        <w:pStyle w:val="Recuodecorpodetexto2"/>
        <w:spacing w:after="200"/>
        <w:ind w:firstLine="2302"/>
        <w:rPr>
          <w:rFonts w:cs="Arial"/>
          <w:szCs w:val="24"/>
        </w:rPr>
      </w:pPr>
      <w:r w:rsidRPr="00630D78">
        <w:rPr>
          <w:rFonts w:cs="Arial"/>
          <w:szCs w:val="24"/>
        </w:rPr>
        <w:t>IX – interconexão do Poder Judiciário com os Registros de Imóveis para a solicitação de informações e o envio de ordens judiciais por meio eletrônico.</w:t>
      </w:r>
    </w:p>
    <w:p w:rsidR="00630D78" w:rsidRPr="00630D78" w:rsidRDefault="00630D78" w:rsidP="00630D78">
      <w:pPr>
        <w:pStyle w:val="Recuodecorpodetexto2"/>
        <w:spacing w:after="200"/>
        <w:ind w:firstLine="2302"/>
        <w:rPr>
          <w:rFonts w:cs="Arial"/>
          <w:szCs w:val="24"/>
        </w:rPr>
      </w:pPr>
      <w:r w:rsidRPr="00630D78">
        <w:rPr>
          <w:rFonts w:cs="Arial"/>
          <w:szCs w:val="24"/>
        </w:rPr>
        <w:t>§ 2º A Central Nacional de Registro de Imóveis implantará e conservará sistema eletrônico de recebimento e protocolo de contratos, escrituras, títulos e documentos e demais solicitações destinadas aos Registradores de Imóveis advindas dos titulares dos direitos envolvidos, seus mandatários, inclusive as entidades registradoras autorizadas pelo Banco Central do Brasil ou pela Comissão de Valores Mobiliários que estejam responsáveis pelo registro ou depósito escritural de títulos, ativos financeiros ou valores mobiliários.</w:t>
      </w:r>
    </w:p>
    <w:p w:rsidR="00630D78" w:rsidRPr="00630D78" w:rsidRDefault="00630D78" w:rsidP="00630D78">
      <w:pPr>
        <w:pStyle w:val="Recuodecorpodetexto2"/>
        <w:spacing w:after="200"/>
        <w:ind w:firstLine="2302"/>
        <w:rPr>
          <w:rFonts w:cs="Arial"/>
          <w:szCs w:val="24"/>
        </w:rPr>
      </w:pPr>
      <w:r w:rsidRPr="00630D78">
        <w:rPr>
          <w:rFonts w:cs="Arial"/>
          <w:szCs w:val="24"/>
        </w:rPr>
        <w:t>§ 3º Os valores de emolumentos relativos aos serviços de registros e averbações eletrônicos deverão corresponder rigorosamente aos efetivos custos operacionais e à adequada remuneração dos serviços prestados, vedada a cobrança de emolumentos em percentual, a partir de faixas ou ainda com base em critérios variáveis segundo o valor constante do contrato, escritura, título ou documento apresentados.</w:t>
      </w:r>
    </w:p>
    <w:p w:rsidR="00630D78" w:rsidRPr="00630D78" w:rsidRDefault="00630D78" w:rsidP="00630D78">
      <w:pPr>
        <w:pStyle w:val="Recuodecorpodetexto2"/>
        <w:spacing w:after="200"/>
        <w:ind w:firstLine="2302"/>
        <w:rPr>
          <w:rFonts w:cs="Arial"/>
          <w:szCs w:val="24"/>
        </w:rPr>
      </w:pPr>
      <w:r w:rsidRPr="00630D78">
        <w:rPr>
          <w:rFonts w:cs="Arial"/>
          <w:szCs w:val="24"/>
        </w:rPr>
        <w:t>§ 4º O acesso eletrônico aos registros imobiliários ou de garantias, gravames, constrições judiciais, indisponibilidades indexados a partir do número de inscrição no Cadastro de Pessoas Físicas do Ministério da Fazenda (CPF), ou número de inscrição no Cadastro Geral de Contribuintes do Ministério da Fazenda (CNPJ), vigentes e registrados a partir de 2 de janeiro de 2000, deverão ser disponibilizados ao público em geral até 31 de junho de 2020, podendo, em caso excepcional, esse prazo ser prorrogado por ato do Corregedor Nacional de Justiça.</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 5º É obrigatória a adesão de todos os registradores de imóveis do País ou responsáveis interinos pelo expediente à Central Nacional de Registro de Imóveis de que trata o </w:t>
      </w:r>
      <w:r w:rsidRPr="00630D78">
        <w:rPr>
          <w:rFonts w:cs="Arial"/>
          <w:b/>
          <w:szCs w:val="24"/>
        </w:rPr>
        <w:t>caput</w:t>
      </w:r>
      <w:r w:rsidRPr="00630D78">
        <w:rPr>
          <w:rFonts w:cs="Arial"/>
          <w:szCs w:val="24"/>
        </w:rPr>
        <w:t xml:space="preserve"> deste artigo, à qual ficarão vinculados, sob pena de responsabilização disciplinar nos termos do inciso I do art. 31 da Lei nº 8.935, de 18 de novembro de 1994.</w:t>
      </w:r>
    </w:p>
    <w:p w:rsidR="00630D78" w:rsidRPr="00630D78" w:rsidRDefault="00630D78" w:rsidP="00630D78">
      <w:pPr>
        <w:pStyle w:val="Recuodecorpodetexto2"/>
        <w:spacing w:after="200"/>
        <w:ind w:firstLine="2302"/>
        <w:rPr>
          <w:rFonts w:cs="Arial"/>
          <w:szCs w:val="24"/>
        </w:rPr>
      </w:pPr>
      <w:r w:rsidRPr="00630D78">
        <w:rPr>
          <w:rFonts w:cs="Arial"/>
          <w:szCs w:val="24"/>
        </w:rPr>
        <w:t>§ 6º Compete ao Conselho Nacional de Justiça fiscalizar a implantação e o funcionamento da Central Nacional de Registro de Imóveis.</w:t>
      </w:r>
    </w:p>
    <w:p w:rsidR="00630D78" w:rsidRPr="00630D78" w:rsidRDefault="00630D78" w:rsidP="00630D78">
      <w:pPr>
        <w:pStyle w:val="Recuodecorpodetexto2"/>
        <w:spacing w:after="200"/>
        <w:ind w:firstLine="0"/>
        <w:jc w:val="center"/>
        <w:rPr>
          <w:rFonts w:cs="Arial"/>
          <w:b/>
          <w:szCs w:val="24"/>
        </w:rPr>
      </w:pPr>
    </w:p>
    <w:p w:rsidR="00630D78" w:rsidRPr="00630D78" w:rsidRDefault="00630D78" w:rsidP="00630D78">
      <w:pPr>
        <w:pStyle w:val="Recuodecorpodetexto2"/>
        <w:spacing w:after="200"/>
        <w:ind w:firstLine="0"/>
        <w:jc w:val="center"/>
        <w:rPr>
          <w:rFonts w:cs="Arial"/>
          <w:b/>
          <w:szCs w:val="24"/>
        </w:rPr>
      </w:pPr>
      <w:r w:rsidRPr="00630D78">
        <w:rPr>
          <w:rFonts w:cs="Arial"/>
          <w:b/>
          <w:szCs w:val="24"/>
        </w:rPr>
        <w:t>CAPÍTULO XI</w:t>
      </w:r>
    </w:p>
    <w:p w:rsidR="00630D78" w:rsidRPr="00630D78" w:rsidRDefault="00630D78" w:rsidP="00630D78">
      <w:pPr>
        <w:pStyle w:val="Recuodecorpodetexto2"/>
        <w:spacing w:after="200"/>
        <w:ind w:firstLine="0"/>
        <w:jc w:val="center"/>
        <w:rPr>
          <w:rFonts w:cs="Arial"/>
          <w:b/>
          <w:szCs w:val="24"/>
        </w:rPr>
      </w:pPr>
      <w:r w:rsidRPr="00630D78">
        <w:rPr>
          <w:rFonts w:cs="Arial"/>
          <w:b/>
          <w:szCs w:val="24"/>
        </w:rPr>
        <w:t>DISPOSIÇÕES FINAIS</w:t>
      </w:r>
    </w:p>
    <w:p w:rsidR="00630D78" w:rsidRPr="00630D78" w:rsidRDefault="00630D78" w:rsidP="00630D78">
      <w:pPr>
        <w:pStyle w:val="Recuodecorpodetexto2"/>
        <w:spacing w:after="200"/>
        <w:ind w:firstLine="0"/>
        <w:jc w:val="center"/>
        <w:rPr>
          <w:rFonts w:cs="Arial"/>
          <w:b/>
          <w:szCs w:val="24"/>
        </w:rPr>
      </w:pPr>
    </w:p>
    <w:p w:rsidR="00630D78" w:rsidRPr="00630D78" w:rsidRDefault="00630D78" w:rsidP="00630D78">
      <w:pPr>
        <w:pStyle w:val="Recuodecorpodetexto2"/>
        <w:spacing w:after="200"/>
        <w:ind w:firstLine="2302"/>
        <w:rPr>
          <w:rFonts w:cs="Arial"/>
          <w:szCs w:val="24"/>
        </w:rPr>
      </w:pPr>
      <w:bookmarkStart w:id="42" w:name="art47"/>
      <w:bookmarkEnd w:id="42"/>
      <w:r w:rsidRPr="00630D78">
        <w:rPr>
          <w:rFonts w:cs="Arial"/>
          <w:b/>
          <w:szCs w:val="24"/>
        </w:rPr>
        <w:t xml:space="preserve">Art. 52. </w:t>
      </w:r>
      <w:r w:rsidRPr="00630D78">
        <w:rPr>
          <w:rFonts w:cs="Arial"/>
          <w:szCs w:val="24"/>
        </w:rPr>
        <w:t xml:space="preserve">A </w:t>
      </w:r>
      <w:hyperlink r:id="rId85" w:history="1">
        <w:r w:rsidRPr="00630D78">
          <w:rPr>
            <w:rFonts w:cs="Arial"/>
            <w:szCs w:val="24"/>
          </w:rPr>
          <w:t>Lei nº 5.709, de 7 de outubro de 1971</w:t>
        </w:r>
      </w:hyperlink>
      <w:r w:rsidRPr="00630D78">
        <w:rPr>
          <w:rFonts w:cs="Arial"/>
          <w:szCs w:val="24"/>
        </w:rPr>
        <w:t>,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1º.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§2º As restrições estabelecidas nesta Lei não se aplicam:</w:t>
      </w:r>
    </w:p>
    <w:p w:rsidR="00630D78" w:rsidRPr="00630D78" w:rsidRDefault="00630D78" w:rsidP="00630D78">
      <w:pPr>
        <w:pStyle w:val="Recuodecorpodetexto2"/>
        <w:spacing w:after="200"/>
        <w:ind w:left="720" w:firstLine="1548"/>
        <w:rPr>
          <w:rFonts w:cs="Arial"/>
          <w:szCs w:val="24"/>
        </w:rPr>
      </w:pPr>
      <w:r w:rsidRPr="00630D78">
        <w:rPr>
          <w:rFonts w:cs="Arial"/>
          <w:szCs w:val="24"/>
        </w:rPr>
        <w:t>I – aos casos de sucessão legítima, ressalvado o disposto no art. 7º;</w:t>
      </w:r>
    </w:p>
    <w:p w:rsidR="00630D78" w:rsidRPr="00630D78" w:rsidRDefault="00630D78" w:rsidP="00630D78">
      <w:pPr>
        <w:pStyle w:val="Recuodecorpodetexto2"/>
        <w:spacing w:after="200"/>
        <w:ind w:left="720" w:firstLine="1548"/>
        <w:rPr>
          <w:rFonts w:cs="Arial"/>
          <w:szCs w:val="24"/>
        </w:rPr>
      </w:pPr>
      <w:r w:rsidRPr="00630D78">
        <w:rPr>
          <w:rFonts w:cs="Arial"/>
          <w:szCs w:val="24"/>
        </w:rPr>
        <w:t>II – às hipóteses de constituição de garantia real, inclusive a transmissão da propriedade fiduciária, em favor de pessoa jurídica, nacional ou estrangeira;</w:t>
      </w:r>
    </w:p>
    <w:p w:rsidR="00630D78" w:rsidRPr="00630D78" w:rsidRDefault="00630D78" w:rsidP="00630D78">
      <w:pPr>
        <w:pStyle w:val="Recuodecorpodetexto2"/>
        <w:spacing w:after="200"/>
        <w:ind w:left="720" w:firstLine="1548"/>
        <w:rPr>
          <w:rFonts w:cs="Arial"/>
          <w:szCs w:val="24"/>
        </w:rPr>
      </w:pPr>
      <w:r w:rsidRPr="00630D78">
        <w:rPr>
          <w:rFonts w:cs="Arial"/>
          <w:szCs w:val="24"/>
        </w:rPr>
        <w:t>III – aos casos de recebimento de imóvel em liquidação de transação junto a pessoa jurídica, nacional ou estrangeira, ou pessoa jurídica nacional da qual participem, a qualquer título, pessoas estrangeiras físicas ou jurídicas que tenham a maioria do seu capital social e residam ou tenham sede no exterior, por meio de realização de garantia real, dação em pagamento ou qualquer outra forma.” (NR)</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53. </w:t>
      </w:r>
      <w:r w:rsidRPr="00630D78">
        <w:rPr>
          <w:rFonts w:cs="Arial"/>
          <w:szCs w:val="24"/>
        </w:rPr>
        <w:t xml:space="preserve">A </w:t>
      </w:r>
      <w:hyperlink r:id="rId86" w:history="1">
        <w:r w:rsidRPr="00630D78">
          <w:rPr>
            <w:rFonts w:cs="Arial"/>
            <w:szCs w:val="24"/>
          </w:rPr>
          <w:t>Lei nº 6.634, de 2 de maio de 1979</w:t>
        </w:r>
      </w:hyperlink>
      <w:r w:rsidRPr="00630D78">
        <w:rPr>
          <w:rFonts w:cs="Arial"/>
          <w:szCs w:val="24"/>
        </w:rPr>
        <w:t>,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2º..................................................................</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§4º Excetua-se do disposto nos incisos V e VI a hipótese de constituição de garantia real, inclusive a transmissão da propriedade fiduciária, em favor pessoa jurídica nacional ou estrangeira, ou pessoa jurídica nacional da qual participem, a qualquer título, pessoas estrangeiras físicas ou jurídicas que tenham a maioria do seu capital social e residam ou tenham sede no exterior, bem como o recebimento de imóvel rural em liquidação de transação junto a pessoa jurídica nacional ou estrangeira por meio de realização de garantia real, dação em pagamento ou outra forma.” (NR)</w:t>
      </w:r>
    </w:p>
    <w:p w:rsidR="00630D78" w:rsidRPr="00630D78" w:rsidRDefault="00630D78" w:rsidP="00630D78">
      <w:pPr>
        <w:pStyle w:val="Recuodecorpodetexto2"/>
        <w:spacing w:after="200"/>
        <w:ind w:firstLine="2302"/>
        <w:rPr>
          <w:rFonts w:cs="Arial"/>
          <w:szCs w:val="24"/>
        </w:rPr>
      </w:pPr>
      <w:r w:rsidRPr="00630D78">
        <w:rPr>
          <w:rFonts w:cs="Arial"/>
          <w:b/>
          <w:szCs w:val="24"/>
        </w:rPr>
        <w:t>Art. 54.</w:t>
      </w:r>
      <w:r w:rsidRPr="00630D78">
        <w:rPr>
          <w:rFonts w:cs="Arial"/>
          <w:szCs w:val="24"/>
        </w:rPr>
        <w:t xml:space="preserve"> A Lei nº 6.015, de 31 de dezembro de 1973,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178................................................</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II - as cédulas de crédito industrial, sem prejuízo do registro da hipoteca cedular;</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55. </w:t>
      </w:r>
      <w:r w:rsidRPr="00630D78">
        <w:rPr>
          <w:rFonts w:cs="Arial"/>
          <w:szCs w:val="24"/>
        </w:rPr>
        <w:t xml:space="preserve">A </w:t>
      </w:r>
      <w:hyperlink r:id="rId87" w:history="1">
        <w:r w:rsidRPr="00630D78">
          <w:rPr>
            <w:rFonts w:cs="Arial"/>
            <w:szCs w:val="24"/>
          </w:rPr>
          <w:t>Lei nº 7.827, de 27 de setembro de 1989</w:t>
        </w:r>
      </w:hyperlink>
      <w:r w:rsidRPr="00630D78">
        <w:rPr>
          <w:rFonts w:cs="Arial"/>
          <w:szCs w:val="24"/>
        </w:rPr>
        <w:t>,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9º Observadas as diretrizes estabelecidas pelo Ministério do Desenvolvimento Regional, os bancos administradores repassarão recursos dos Fundos Constitucionais a outras instituições autorizadas a funcionar pelo Banco Central do Brasil, com capacidade técnica comprovada e com estrutura operacional e administrativa aptas a realizar, em segurança e no estrito cumprimento das diretrizes e normas estabelecidas, programas de crédito especificamente criados com essa finalidade.</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2º As instituições financeiras beneficiárias dos repasses deverão devolver aos bancos administradores, de acordo com o cronograma de reembolso das operações, os valores devidos, independentemente do pagamento pelo tomador final.</w:t>
      </w:r>
    </w:p>
    <w:p w:rsidR="00630D78" w:rsidRPr="00630D78" w:rsidRDefault="00630D78" w:rsidP="00630D78">
      <w:pPr>
        <w:pStyle w:val="Recuodecorpodetexto2"/>
        <w:spacing w:after="200"/>
        <w:ind w:left="720" w:firstLine="1548"/>
        <w:rPr>
          <w:rFonts w:cs="Arial"/>
          <w:szCs w:val="24"/>
        </w:rPr>
      </w:pPr>
      <w:r w:rsidRPr="00630D78">
        <w:rPr>
          <w:rFonts w:cs="Arial"/>
          <w:szCs w:val="24"/>
        </w:rPr>
        <w:t>§ 3º Aos bancos cooperativos e às confederações de cooperativas de crédito, em conformidade com o § 5º do art. 2º da Lei Complementar nº 130, de 17 de abril de 2009, no seu conjunto, sob seu risco exclusivo, fica assegurado o repasse de 10% (dez por cento) dos recursos de cada fundo constitucional previstos para o exercício ou o valor efetivamente demandado por essas instituições, o que for menor.</w:t>
      </w:r>
    </w:p>
    <w:p w:rsidR="00630D78" w:rsidRPr="00630D78" w:rsidRDefault="00630D78" w:rsidP="00630D78">
      <w:pPr>
        <w:pStyle w:val="Recuodecorpodetexto2"/>
        <w:spacing w:after="200"/>
        <w:ind w:left="720" w:firstLine="1548"/>
        <w:rPr>
          <w:rFonts w:cs="Arial"/>
          <w:szCs w:val="24"/>
        </w:rPr>
      </w:pPr>
      <w:r w:rsidRPr="00630D78">
        <w:rPr>
          <w:rFonts w:cs="Arial"/>
          <w:szCs w:val="24"/>
        </w:rPr>
        <w:t>§ 4º O montante do repasse de que trata este artigo terá como teto o limite de crédito da instituição beneficiária do repasse perante o banco administrador dos recursos dos Fundos Constitucionais de Financiamento, a ser definido com base em critérios técnicos de avaliação de risco de crédito.</w:t>
      </w:r>
    </w:p>
    <w:p w:rsidR="00630D78" w:rsidRPr="00630D78" w:rsidRDefault="00630D78" w:rsidP="00630D78">
      <w:pPr>
        <w:pStyle w:val="Recuodecorpodetexto2"/>
        <w:spacing w:after="200"/>
        <w:ind w:left="720" w:firstLine="1548"/>
        <w:rPr>
          <w:rFonts w:cs="Arial"/>
          <w:szCs w:val="24"/>
        </w:rPr>
      </w:pPr>
      <w:r w:rsidRPr="00630D78">
        <w:rPr>
          <w:rFonts w:cs="Arial"/>
          <w:szCs w:val="24"/>
        </w:rPr>
        <w:t>§ 5º O montante mencionado no § 1º não poderá ser inferior a 20% dos recursos de cada Fundo Constitucional ou o valor efetivamente demandado por aquelas instituições, o que for menor.</w:t>
      </w:r>
    </w:p>
    <w:p w:rsidR="00630D78" w:rsidRPr="00630D78" w:rsidRDefault="00630D78" w:rsidP="00630D78">
      <w:pPr>
        <w:pStyle w:val="Recuodecorpodetexto2"/>
        <w:spacing w:after="200"/>
        <w:ind w:left="720" w:firstLine="1548"/>
        <w:rPr>
          <w:rFonts w:cs="Arial"/>
          <w:szCs w:val="24"/>
        </w:rPr>
      </w:pPr>
      <w:r w:rsidRPr="00630D78">
        <w:rPr>
          <w:rFonts w:cs="Arial"/>
          <w:szCs w:val="24"/>
        </w:rPr>
        <w:t>§ 6º Os montantes referidos nos §§ 3º e 5º poderão ser aumentados por regulamentação própria do Poder Executivo.” (NR)</w:t>
      </w:r>
    </w:p>
    <w:p w:rsidR="00630D78" w:rsidRPr="00630D78" w:rsidRDefault="00630D78" w:rsidP="00630D78">
      <w:pPr>
        <w:pStyle w:val="Recuodecorpodetexto2"/>
        <w:spacing w:after="200"/>
        <w:ind w:left="720" w:firstLine="1548"/>
        <w:rPr>
          <w:rFonts w:cs="Arial"/>
          <w:szCs w:val="24"/>
        </w:rPr>
      </w:pPr>
      <w:r w:rsidRPr="00630D78">
        <w:rPr>
          <w:rFonts w:cs="Arial"/>
          <w:b/>
          <w:szCs w:val="24"/>
        </w:rPr>
        <w:t xml:space="preserve">Art. 56. </w:t>
      </w:r>
      <w:r w:rsidRPr="00630D78">
        <w:rPr>
          <w:rFonts w:cs="Arial"/>
          <w:szCs w:val="24"/>
        </w:rPr>
        <w:t>A Lei nº 8.212, de 24 de julho de 1991, passa a vigorar com a seguinte redação: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“Art. 25.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3º Integram a produção, para os efeitos deste artigo, os produtos de origem animal ou vegetal, em estado natural ou submetidos a processos de beneficiamento ou industrialização rudimentar, assim compreendidos, entre outros, os processos de lavagem, limpeza, descaroçamento, pilagem, descascamento, lenhamento, pasteurização, resfriamento, secagem, fermentação, embalagem, cristalização, fundição, carvoejamento, cozimento, destilação, moagem, torrefação, bem como os subprodutos e os resíduos obtidos através desses processos, exceto, no caso de sociedades cooperativas, a parcela de produção que não seja objeto de repasse ao cooperado por meio de fixação de preço.</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14 Considera-se receita bruta proveniente da comercialização da sua produção, o valor da fixação de preço repassado ao cooperado pela cooperativa ao qual esteja associado, quando da realização do ato cooperativo de que trata o art. 79 da Lei nº 5.764, de 16 de dezembro de 1971, não compreendendo valores pagos, creditados ou capitalizados a título de sobras, os quais não representam preço ou complemento de preço.</w:t>
      </w:r>
    </w:p>
    <w:p w:rsidR="00630D78" w:rsidRPr="00630D78" w:rsidRDefault="00630D78" w:rsidP="00630D78">
      <w:pPr>
        <w:pStyle w:val="Recuodecorpodetexto2"/>
        <w:spacing w:after="200"/>
        <w:ind w:left="720" w:firstLine="1548"/>
        <w:rPr>
          <w:rFonts w:cs="Arial"/>
          <w:szCs w:val="24"/>
        </w:rPr>
      </w:pPr>
      <w:r w:rsidRPr="00630D78">
        <w:rPr>
          <w:rFonts w:cs="Arial"/>
          <w:szCs w:val="24"/>
        </w:rPr>
        <w:t>§ 15 Não se considera receita bruta para fins de base de cálculo das contribuições sociais devidas pelo produtor rural cooperado a entrega ou retorno de produção para a cooperativa nas operações que não ocorra repasse pela cooperativa a título de fixação de preço, não podendo o mero retorno caracterizar permuta, compensação, dação em pagamento ou ressarcimento que represente valor, preço ou complemento de preço.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16 Aplica-se ao disposto no </w:t>
      </w:r>
      <w:r w:rsidRPr="00630D78">
        <w:rPr>
          <w:rFonts w:cs="Arial"/>
          <w:b/>
          <w:szCs w:val="24"/>
        </w:rPr>
        <w:t>caput</w:t>
      </w:r>
      <w:r w:rsidRPr="00630D78">
        <w:rPr>
          <w:rFonts w:cs="Arial"/>
          <w:szCs w:val="24"/>
        </w:rPr>
        <w:t xml:space="preserve"> e nos parágrafos 3º, 14 e 15, o caráter interpretativo de que trata o art. 106 da Lei n° 5.172, de 25 de outubro de 1966, Código Tributário Nacional – CTN.” (NR)</w:t>
      </w:r>
    </w:p>
    <w:p w:rsidR="00630D78" w:rsidRPr="00630D78" w:rsidRDefault="00630D78" w:rsidP="00630D78">
      <w:pPr>
        <w:pStyle w:val="Recuodecorpodetexto2"/>
        <w:spacing w:after="200"/>
        <w:ind w:left="720" w:firstLine="1548"/>
        <w:rPr>
          <w:rFonts w:cs="Arial"/>
          <w:szCs w:val="24"/>
        </w:rPr>
      </w:pPr>
      <w:r w:rsidRPr="00630D78">
        <w:rPr>
          <w:rFonts w:cs="Arial"/>
          <w:b/>
          <w:szCs w:val="24"/>
        </w:rPr>
        <w:t>Art. 57.</w:t>
      </w:r>
      <w:r w:rsidRPr="00630D78">
        <w:rPr>
          <w:rFonts w:cs="Arial"/>
          <w:szCs w:val="24"/>
        </w:rPr>
        <w:t xml:space="preserve"> A Lei nº 10.169, de 29 de dezembro de 2000,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2°......................................................................</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1º Nos casos em que, por força de lei, devam ser utilizados valores decorrentes de avaliação judicial ou fiscal, estes serão os valores considerados para os fins do disposto na alínea b do inciso III.</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 2º Os emolumentos devidos pela constituição de direitos reais de garantia mobiliária ou imobiliária destinados ao crédito rural não poderão exceder ao disposto nos incisos I e II, limitado ao de menor valor: </w:t>
      </w:r>
    </w:p>
    <w:p w:rsidR="00630D78" w:rsidRPr="00630D78" w:rsidRDefault="00630D78" w:rsidP="00630D78">
      <w:pPr>
        <w:pStyle w:val="Recuodecorpodetexto2"/>
        <w:spacing w:after="200"/>
        <w:ind w:left="720" w:firstLine="1548"/>
        <w:rPr>
          <w:rFonts w:cs="Arial"/>
          <w:szCs w:val="24"/>
        </w:rPr>
      </w:pPr>
      <w:r w:rsidRPr="00630D78">
        <w:rPr>
          <w:rFonts w:cs="Arial"/>
          <w:szCs w:val="24"/>
        </w:rPr>
        <w:t>I - 0,3% (zero vírgula três) por cento do valor do crédito concedido, incluída a taxa de fiscalização judicial, limitada a 5% do valor pago pelo usuário, vedados quaisquer outros acréscimos a título de taxas, custas e contribuições para o Estado ou Distrito Federal, carteira de previdência ou para associação de classe, criados ou que venham a ser criados sob qualquer título ou denominação; e</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II - o valor respectivo previsto na tabela estadual definida em lei, observando que: </w:t>
      </w:r>
    </w:p>
    <w:p w:rsidR="00630D78" w:rsidRPr="00630D78" w:rsidRDefault="00630D78" w:rsidP="00630D78">
      <w:pPr>
        <w:pStyle w:val="Recuodecorpodetexto2"/>
        <w:spacing w:after="200"/>
        <w:ind w:left="720" w:firstLine="1548"/>
        <w:rPr>
          <w:rFonts w:cs="Arial"/>
          <w:szCs w:val="24"/>
        </w:rPr>
      </w:pPr>
      <w:r w:rsidRPr="00630D78">
        <w:rPr>
          <w:rFonts w:cs="Arial"/>
          <w:szCs w:val="24"/>
        </w:rPr>
        <w:t>a) nos registros, quando dois ou mais imóveis forem dados em garantia, estejam ou não situados na mesma circunscrição imobiliária, tenham ou não igual valor, a base de cálculo dos atos será o resultado da divisão do valor do mútuo pelo número de imóveis, limitada ao potencial econômico de cada bem.</w:t>
      </w:r>
    </w:p>
    <w:p w:rsidR="00630D78" w:rsidRPr="00630D78" w:rsidRDefault="00630D78" w:rsidP="00630D78">
      <w:pPr>
        <w:pStyle w:val="Recuodecorpodetexto2"/>
        <w:spacing w:after="200"/>
        <w:ind w:left="720" w:firstLine="1548"/>
        <w:rPr>
          <w:rFonts w:cs="Arial"/>
          <w:szCs w:val="24"/>
        </w:rPr>
      </w:pPr>
      <w:r w:rsidRPr="00630D78">
        <w:rPr>
          <w:rFonts w:cs="Arial"/>
          <w:szCs w:val="24"/>
        </w:rPr>
        <w:t>b) a averbação de aditivo de garantia real com liberação de crédito suplementar será cobrada conforme o presente artigo e terá como base de cálculo o valor do referido crédito.</w:t>
      </w:r>
    </w:p>
    <w:p w:rsidR="00630D78" w:rsidRPr="00630D78" w:rsidRDefault="00630D78" w:rsidP="00630D78">
      <w:pPr>
        <w:pStyle w:val="Recuodecorpodetexto2"/>
        <w:spacing w:after="200"/>
        <w:ind w:left="720" w:firstLine="1548"/>
        <w:rPr>
          <w:rFonts w:cs="Arial"/>
          <w:szCs w:val="24"/>
        </w:rPr>
      </w:pPr>
      <w:r w:rsidRPr="00630D78">
        <w:rPr>
          <w:rFonts w:cs="Arial"/>
          <w:szCs w:val="24"/>
        </w:rPr>
        <w:t>c) a averbação de aditivo contendo outras alterações que não importem mudança no valor do crédito concedido é considerada como ato sem conteúdo econômico.</w:t>
      </w:r>
    </w:p>
    <w:p w:rsidR="00630D78" w:rsidRPr="00630D78" w:rsidRDefault="00630D78" w:rsidP="00630D78">
      <w:pPr>
        <w:pStyle w:val="Recuodecorpodetexto2"/>
        <w:spacing w:after="200"/>
        <w:ind w:left="720" w:firstLine="1548"/>
        <w:rPr>
          <w:rFonts w:cs="Arial"/>
          <w:szCs w:val="24"/>
        </w:rPr>
      </w:pPr>
      <w:r w:rsidRPr="00630D78">
        <w:rPr>
          <w:rFonts w:cs="Arial"/>
          <w:szCs w:val="24"/>
        </w:rPr>
        <w:t>d) os valores de cancelamento dos atos previstos no caput obedecerão ao previsto nas tabelas estaduais, até o limite máximo de 0,10% (zero vírgula um por cento) do valor do crédito concedido.</w:t>
      </w:r>
    </w:p>
    <w:p w:rsidR="00630D78" w:rsidRPr="00630D78" w:rsidRDefault="00630D78" w:rsidP="00630D78">
      <w:pPr>
        <w:pStyle w:val="Recuodecorpodetexto2"/>
        <w:spacing w:after="200"/>
        <w:ind w:left="720" w:firstLine="1548"/>
        <w:rPr>
          <w:rFonts w:cs="Arial"/>
          <w:szCs w:val="24"/>
        </w:rPr>
      </w:pPr>
      <w:r w:rsidRPr="00630D78">
        <w:rPr>
          <w:rFonts w:cs="Arial"/>
          <w:szCs w:val="24"/>
        </w:rPr>
        <w:t>e) estão inclusos nos emolumentos devidos pelos registros de garantias reais previstas nesta lei a prenotação, as indicações e os arquivamentos.</w:t>
      </w:r>
    </w:p>
    <w:p w:rsidR="00630D78" w:rsidRPr="00630D78" w:rsidRDefault="00630D78" w:rsidP="00630D78">
      <w:pPr>
        <w:pStyle w:val="Recuodecorpodetexto2"/>
        <w:spacing w:after="200"/>
        <w:ind w:left="720" w:firstLine="1548"/>
        <w:rPr>
          <w:rFonts w:cs="Arial"/>
          <w:szCs w:val="24"/>
        </w:rPr>
      </w:pPr>
      <w:r w:rsidRPr="00630D78">
        <w:rPr>
          <w:rFonts w:cs="Arial"/>
          <w:szCs w:val="24"/>
        </w:rPr>
        <w:t>f) os emolumentos devidos pelo registro auxiliar de cédula ou nota de crédito e de produto rural, não garantida por hipoteca ou alienação fiduciária de bens imóveis, obedecerão ao previsto nas tabelas Estaduais e não poderão exceder 0,3% (zero vírgula três por cento) do valor do crédito concedido, incluída a taxa de fiscalização judicial, limitada a 5% do valor pago pelo observada a vedação estipulada no caput.”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3º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VI - impor ao registro e averbação de situações jurídicas em que haja a interveniência de produtor rural, quaisquer acréscimos a título de taxas, custas e contribuições para o Estado ou Distrito Federal, carteira de previdência, fundo de custeio de atos gratuitos, fundos especiais do Tribunal de Justiça, bem como de associação de classe, ou outros que venham a ser criados.” (NR)</w:t>
      </w:r>
    </w:p>
    <w:p w:rsidR="00630D78" w:rsidRPr="00630D78" w:rsidRDefault="00630D78" w:rsidP="00630D78">
      <w:pPr>
        <w:pStyle w:val="Recuodecorpodetexto2"/>
        <w:spacing w:after="200"/>
        <w:ind w:left="720" w:firstLine="1548"/>
        <w:rPr>
          <w:rFonts w:cs="Arial"/>
          <w:szCs w:val="24"/>
        </w:rPr>
      </w:pPr>
      <w:r w:rsidRPr="00630D78">
        <w:rPr>
          <w:rFonts w:cs="Arial"/>
          <w:b/>
          <w:szCs w:val="24"/>
        </w:rPr>
        <w:t>Art. 58.</w:t>
      </w:r>
      <w:r w:rsidRPr="00630D78">
        <w:rPr>
          <w:rFonts w:cs="Arial"/>
          <w:szCs w:val="24"/>
        </w:rPr>
        <w:t xml:space="preserve"> A Lei nº 11.116, de 18 de maio de 2005,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5º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3º O produtor-vendedor, para os fins de determinação do coeficiente de redução de alíquota, será o agricultor familiar ou sua cooperativa agropecuária, ou demais arranjos de comercialização que comprovem a origem do produto no âmbito do Programa Nacional de Fortalecimento da Agricultura Familiar – Pronaf.” (NR)</w:t>
      </w:r>
    </w:p>
    <w:p w:rsidR="00630D78" w:rsidRPr="00630D78" w:rsidRDefault="00630D78" w:rsidP="00630D78">
      <w:pPr>
        <w:pStyle w:val="Recuodecorpodetexto2"/>
        <w:spacing w:after="200"/>
        <w:ind w:left="720" w:firstLine="1548"/>
        <w:rPr>
          <w:rFonts w:cs="Arial"/>
          <w:szCs w:val="24"/>
        </w:rPr>
      </w:pPr>
      <w:r w:rsidRPr="00630D78">
        <w:rPr>
          <w:rFonts w:cs="Arial"/>
          <w:b/>
          <w:szCs w:val="24"/>
        </w:rPr>
        <w:t xml:space="preserve">Art. 59. </w:t>
      </w:r>
      <w:r w:rsidRPr="00630D78">
        <w:rPr>
          <w:rFonts w:cs="Arial"/>
          <w:szCs w:val="24"/>
        </w:rPr>
        <w:t xml:space="preserve">A </w:t>
      </w:r>
      <w:hyperlink r:id="rId88" w:history="1">
        <w:r w:rsidRPr="00630D78">
          <w:rPr>
            <w:rFonts w:cs="Arial"/>
            <w:szCs w:val="24"/>
          </w:rPr>
          <w:t>Lei nº 12.810, de 15 de maio de 2013</w:t>
        </w:r>
      </w:hyperlink>
      <w:r w:rsidRPr="00630D78">
        <w:rPr>
          <w:rFonts w:cs="Arial"/>
          <w:szCs w:val="24"/>
        </w:rPr>
        <w:t>,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28...........................</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Parágrafo único. O registro de ativos financeiros e de valores mobiliários compreende o armazenamento e a publicidade de informações referentes a transações financeiras, ressalvados os sigilos legais.” (NR) </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60. </w:t>
      </w:r>
      <w:r w:rsidRPr="00630D78">
        <w:rPr>
          <w:rFonts w:cs="Arial"/>
          <w:szCs w:val="24"/>
        </w:rPr>
        <w:t xml:space="preserve">A </w:t>
      </w:r>
      <w:hyperlink r:id="rId89" w:history="1">
        <w:r w:rsidRPr="00630D78">
          <w:rPr>
            <w:rFonts w:cs="Arial"/>
            <w:szCs w:val="24"/>
          </w:rPr>
          <w:t xml:space="preserve">Lei nº 13.340, de 28 de setembro </w:t>
        </w:r>
      </w:hyperlink>
      <w:r w:rsidRPr="00630D78">
        <w:rPr>
          <w:rFonts w:cs="Arial"/>
          <w:szCs w:val="24"/>
        </w:rPr>
        <w:t>2016, passa a vigorar com as seguintes alterações: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“Art. 1º Fica autorizada a concessão de rebate para liquidação, até 30 de dezembro de 2020, das operações de crédito rural referentes a uma ou mais operações do mesmo mutuário, contratadas até 31 de dezembro de 2011 com o Banco do Nordeste do Brasil S.A. ou o Banco da Amazônia S.A. com recursos oriundos, respectivamente, do Fundo Constitucional de Financiamento do Nordeste (FNE) ou do Fundo Constitucional de Financiamento do Norte (FNO), ou com recursos mistos dos referidos Fundos com outras fontes, relativas a empreendimentos localizados na área de abrangência da Superintendência do Desenvolvimento do Nordeste (Sudene) ou da Superintendência do Desenvolvimento da Amazônia (Sudam), observadas ainda as seguintes condições:”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1º-A. Aplica-se o disposto no artigo 1º desta Lei às operações vinculadas a atividade rural contratadas até 31 de dezembro de 2011, por agroindústrias, com recursos exclusivamente dos Fundos Constitucionais de Financiamento do Norte (FNO) e Nordeste (FNE), lançadas em prejuízo total ou parcialmente até 31 de dezembro de 2018.”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2º Fica autorizada, até 30 de dezembro de 2020, a repactuação das dívidas das operações de crédito rural contratadas até 31 de dezembro de 2011 com o Banco do Nordeste do Brasil S.A. ou o Banco da Amazônia S.A. com recursos oriundos, respectivamente, do FNE ou do FNO, ou com recursos mistos dos referidos Fundos com outras fontes, relativas a empreendimentos localizados na área de abrangência da Sudene ou da Sudam, atualizadas até a data da repactuação segundo os critérios estabelecidos no art. 1º desta Lei, observadas ainda as seguintes condições:”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3º Fica autorizada a concessão de rebate para liquidação, até 30 de dezembro de 2020, das operações de crédito rural referentes a uma ou mais operações do mesmo mutuário, contratadas até 31 de dezembro de 2011 com bancos oficiais federais, relativas a empreendimentos localizados na área de abrangência da Sudene e da Sudam, exceto as contratadas com recursos oriundos dos Fundos Constitucionais de Financiamento, observadas as seguintes condições:</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2º As operações de risco da União enquadradas neste artigo não devem ser encaminhadas para inscrição na dívida ativa da União até 31 de outubro de 2019.</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“Art. 4º Fica autorizada a concessão de descontos para a liquidação, até 30 de dezembro de 2020, de dívidas originárias de operações de crédito rural inscritas em dívida ativa da União ou encaminhadas para inscrição até 31 de julho de 2020, relativas a inadimplência ocorrida até 31 de dezembro de 2019, devendo incidir os referidos descontos sobre o valor consolidado, por inscrição em dívida ativa da União. </w:t>
      </w:r>
    </w:p>
    <w:p w:rsidR="00630D78" w:rsidRPr="00630D78" w:rsidRDefault="00630D78" w:rsidP="00630D78">
      <w:pPr>
        <w:pStyle w:val="Recuodecorpodetexto2"/>
        <w:spacing w:after="200"/>
        <w:ind w:left="720" w:firstLine="1548"/>
        <w:rPr>
          <w:rFonts w:cs="Arial"/>
          <w:szCs w:val="24"/>
        </w:rPr>
      </w:pPr>
      <w:r w:rsidRPr="00630D78">
        <w:rPr>
          <w:rFonts w:cs="Arial"/>
          <w:szCs w:val="24"/>
        </w:rPr>
        <w:t>...............................................................................</w:t>
      </w:r>
    </w:p>
    <w:p w:rsidR="00630D78" w:rsidRPr="00630D78" w:rsidRDefault="00630D78" w:rsidP="00630D78">
      <w:pPr>
        <w:pStyle w:val="Recuodecorpodetexto2"/>
        <w:spacing w:after="200"/>
        <w:ind w:left="720" w:firstLine="1548"/>
        <w:rPr>
          <w:rFonts w:cs="Arial"/>
          <w:szCs w:val="24"/>
        </w:rPr>
      </w:pPr>
      <w:r w:rsidRPr="00630D78">
        <w:rPr>
          <w:rFonts w:cs="Arial"/>
          <w:szCs w:val="24"/>
        </w:rPr>
        <w:t>§ 5º Os descontos para liquidação previstos no § 1º deste artigo aplicam-se às dívidas contraídas no âmbito do Fundo de Terras e da Reforma Agrária (Banco da Terra) e do Acordo de Empréstimo 4.147-BR, inscritas em dívida ativa da União até 31 de outubro de 2019, cuja inadimplência tenha ocorrido até 31 de dezembro de 2018.</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10. ............................................................................</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I - até 30 de dezembro de 2020, o encaminhamento para cobrança judicial, as execuções e as cobranças judiciais em curso em relação aos débitos de que tratam os arts. 1º ao 4º; </w:t>
      </w:r>
    </w:p>
    <w:p w:rsidR="00630D78" w:rsidRPr="00630D78" w:rsidRDefault="00630D78" w:rsidP="00630D78">
      <w:pPr>
        <w:pStyle w:val="Recuodecorpodetexto2"/>
        <w:spacing w:after="200"/>
        <w:ind w:left="720" w:firstLine="1548"/>
        <w:rPr>
          <w:rFonts w:cs="Arial"/>
          <w:szCs w:val="24"/>
        </w:rPr>
      </w:pPr>
      <w:r w:rsidRPr="00630D78">
        <w:rPr>
          <w:rFonts w:cs="Arial"/>
          <w:szCs w:val="24"/>
        </w:rPr>
        <w:t>II - o prazo de prescrição das dívidas.” (NR)</w:t>
      </w:r>
    </w:p>
    <w:p w:rsidR="00630D78" w:rsidRPr="00630D78" w:rsidRDefault="00630D78" w:rsidP="00630D78">
      <w:pPr>
        <w:pStyle w:val="Recuodecorpodetexto2"/>
        <w:spacing w:after="200"/>
        <w:ind w:left="720" w:firstLine="1548"/>
        <w:rPr>
          <w:rFonts w:cs="Arial"/>
          <w:szCs w:val="24"/>
        </w:rPr>
      </w:pPr>
      <w:r w:rsidRPr="00630D78">
        <w:rPr>
          <w:rFonts w:cs="Arial"/>
          <w:szCs w:val="24"/>
        </w:rPr>
        <w:t>“Art. 13 Ficam a Companhia de Desenvolvimento dos Vales do São Francisco e do Parnaíba - Codevasf e o Departamento Nacional de Obras Contra as Secas - DNOCS autorizados a adotar os procedimentos previstos no art. 1º desta Lei para a liquidação das dívidas vencidas, relativas a vendas de lotes para titulação e ao uso da infraestrutura de irrigação de uso comum nos perímetros públicos de irrigação.</w:t>
      </w:r>
    </w:p>
    <w:p w:rsidR="00630D78" w:rsidRPr="00630D78" w:rsidRDefault="00630D78" w:rsidP="00630D78">
      <w:pPr>
        <w:pStyle w:val="Recuodecorpodetexto2"/>
        <w:spacing w:after="200"/>
        <w:ind w:left="720" w:firstLine="1548"/>
        <w:rPr>
          <w:rFonts w:cs="Arial"/>
          <w:szCs w:val="24"/>
        </w:rPr>
      </w:pPr>
      <w:r w:rsidRPr="00630D78">
        <w:rPr>
          <w:rFonts w:cs="Arial"/>
          <w:szCs w:val="24"/>
        </w:rPr>
        <w:t>.....................................................” (NR)</w:t>
      </w: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61. </w:t>
      </w:r>
      <w:r w:rsidRPr="00630D78">
        <w:rPr>
          <w:rFonts w:cs="Arial"/>
          <w:szCs w:val="24"/>
        </w:rPr>
        <w:t xml:space="preserve">A </w:t>
      </w:r>
      <w:hyperlink r:id="rId90" w:history="1">
        <w:r w:rsidRPr="00630D78">
          <w:rPr>
            <w:rFonts w:cs="Arial"/>
            <w:szCs w:val="24"/>
          </w:rPr>
          <w:t>Lei nº 13.576, de 26 de dezembro de 2017</w:t>
        </w:r>
      </w:hyperlink>
      <w:r w:rsidRPr="00630D78">
        <w:rPr>
          <w:rFonts w:cs="Arial"/>
          <w:szCs w:val="24"/>
        </w:rPr>
        <w:t>, passa a vigorar acrescida do seguinte artigo 15-A:</w:t>
      </w:r>
    </w:p>
    <w:p w:rsidR="00630D78" w:rsidRPr="00630D78" w:rsidRDefault="00630D78" w:rsidP="00630D78">
      <w:pPr>
        <w:pStyle w:val="Recuodecorpodetexto2"/>
        <w:spacing w:after="200"/>
        <w:ind w:left="720" w:firstLine="1548"/>
        <w:rPr>
          <w:rFonts w:cs="Arial"/>
          <w:szCs w:val="24"/>
        </w:rPr>
      </w:pPr>
      <w:r w:rsidRPr="00630D78">
        <w:rPr>
          <w:rFonts w:cs="Arial"/>
          <w:szCs w:val="24"/>
        </w:rPr>
        <w:t>“Art. 15-A. A receita das pessoas jurídicas qualificadas no inciso VII do art. 5º, auferida até 31 de dezembro de 2030 nas operações de que trata o art. 15, fica sujeita à incidência do imposto sobre a renda exclusivamente na fonte à alíquota de quinze por cento.</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§1º A receita referida no </w:t>
      </w:r>
      <w:r w:rsidRPr="00630D78">
        <w:rPr>
          <w:rFonts w:cs="Arial"/>
          <w:b/>
          <w:szCs w:val="24"/>
        </w:rPr>
        <w:t>caput</w:t>
      </w:r>
      <w:r w:rsidRPr="00630D78">
        <w:rPr>
          <w:rFonts w:cs="Arial"/>
          <w:szCs w:val="24"/>
        </w:rPr>
        <w:t xml:space="preserve"> será excluída na determinação do lucro real ou presumido e no valor do resultado do exercício, mas as eventuais perdas apuradas naquelas operações não serão dedutíveis na apuração do lucro real.</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§2º O disposto no §1º não impede o regular aproveitamento na apuração do lucro real das pessoas jurídicas referidas no </w:t>
      </w:r>
      <w:r w:rsidRPr="00630D78">
        <w:rPr>
          <w:rFonts w:cs="Arial"/>
          <w:b/>
          <w:szCs w:val="24"/>
        </w:rPr>
        <w:t>caput</w:t>
      </w:r>
      <w:r w:rsidRPr="00630D78">
        <w:rPr>
          <w:rFonts w:cs="Arial"/>
          <w:szCs w:val="24"/>
        </w:rPr>
        <w:t xml:space="preserve"> das despesas administrativas ou financeiras necessárias à emissão, ao registro e à negociação dos créditos de que trata o inciso V do art. 5º desta Lei, inclusive aquelas referentes à certificação ou às atividades do escriturador de que tratam o art. 5º, incisos I e VIII, e arts. 15 e 18.</w:t>
      </w:r>
    </w:p>
    <w:p w:rsidR="00630D78" w:rsidRPr="00630D78" w:rsidRDefault="00630D78" w:rsidP="00630D78">
      <w:pPr>
        <w:pStyle w:val="Recuodecorpodetexto2"/>
        <w:spacing w:after="200"/>
        <w:ind w:left="720" w:firstLine="1548"/>
        <w:rPr>
          <w:rFonts w:cs="Arial"/>
          <w:szCs w:val="24"/>
        </w:rPr>
      </w:pPr>
      <w:r w:rsidRPr="00630D78">
        <w:rPr>
          <w:rFonts w:cs="Arial"/>
          <w:szCs w:val="24"/>
        </w:rPr>
        <w:t xml:space="preserve">§3º O disposto no </w:t>
      </w:r>
      <w:r w:rsidRPr="00630D78">
        <w:rPr>
          <w:rFonts w:cs="Arial"/>
          <w:b/>
          <w:szCs w:val="24"/>
        </w:rPr>
        <w:t>caput</w:t>
      </w:r>
      <w:r w:rsidRPr="00630D78">
        <w:rPr>
          <w:rFonts w:cs="Arial"/>
          <w:szCs w:val="24"/>
        </w:rPr>
        <w:t xml:space="preserve"> e no §1º aplica-se por igual a todas as demais pessoas físicas ou jurídicas que realizem, sucessivamente, operações de aquisição e alienação na forma do art. 15 e com o registro de que trata o art. 16 desta Lei, salvo quando aquelas pessoas se caracterizem legalmente como “distribuidor de combustíveis”. (NR)</w:t>
      </w:r>
    </w:p>
    <w:p w:rsidR="00630D78" w:rsidRPr="00630D78" w:rsidRDefault="00630D78" w:rsidP="00630D78">
      <w:pPr>
        <w:pStyle w:val="Recuodecorpodetexto2"/>
        <w:spacing w:after="200"/>
        <w:ind w:firstLine="2302"/>
        <w:rPr>
          <w:rFonts w:cs="Arial"/>
          <w:szCs w:val="24"/>
        </w:rPr>
      </w:pPr>
      <w:r w:rsidRPr="00630D78">
        <w:rPr>
          <w:rFonts w:cs="Arial"/>
          <w:b/>
          <w:szCs w:val="24"/>
        </w:rPr>
        <w:t>Art. 62.</w:t>
      </w:r>
      <w:r w:rsidRPr="00630D78">
        <w:rPr>
          <w:rFonts w:cs="Arial"/>
          <w:szCs w:val="24"/>
        </w:rPr>
        <w:t xml:space="preserve"> Os Oficiais de Registro de Imóveis receberão extratos eletrônicos estruturados de escrituras públicas, instrumentos particulares com força de escritura pública e cédulas de crédito, conforme padrão definido pelo ONR.</w:t>
      </w:r>
    </w:p>
    <w:p w:rsidR="00630D78" w:rsidRPr="00630D78" w:rsidRDefault="00630D78" w:rsidP="00630D78">
      <w:pPr>
        <w:pStyle w:val="Recuodecorpodetexto2"/>
        <w:spacing w:after="200"/>
        <w:ind w:firstLine="2302"/>
        <w:rPr>
          <w:rFonts w:cs="Arial"/>
          <w:szCs w:val="24"/>
        </w:rPr>
      </w:pPr>
      <w:r w:rsidRPr="00630D78">
        <w:rPr>
          <w:rFonts w:cs="Arial"/>
          <w:szCs w:val="24"/>
        </w:rPr>
        <w:t>§ 1º O extrato mencionado no artigo anterior, para ser recepcionado, deverá ser assinado eletronicamente pelas partes.</w:t>
      </w:r>
    </w:p>
    <w:p w:rsidR="00630D78" w:rsidRPr="00630D78" w:rsidRDefault="00630D78" w:rsidP="00630D78">
      <w:pPr>
        <w:pStyle w:val="Recuodecorpodetexto2"/>
        <w:spacing w:after="200"/>
        <w:ind w:firstLine="2302"/>
        <w:rPr>
          <w:rFonts w:cs="Arial"/>
          <w:szCs w:val="24"/>
        </w:rPr>
      </w:pPr>
      <w:r w:rsidRPr="00630D78">
        <w:rPr>
          <w:rFonts w:cs="Arial"/>
          <w:szCs w:val="24"/>
        </w:rPr>
        <w:t>§ 2º Nos documentos formalizados por instituição financeira ou entidades autorizadas por lei a fazê-lo, o extrato, assinado exclusivamente por seu representante legal, conterá declaração de que seus dados correspondem ao original em seu poder.</w:t>
      </w:r>
    </w:p>
    <w:p w:rsidR="00630D78" w:rsidRPr="00630D78" w:rsidRDefault="00630D78" w:rsidP="00630D78">
      <w:pPr>
        <w:pStyle w:val="Recuodecorpodetexto2"/>
        <w:spacing w:after="200"/>
        <w:ind w:firstLine="2302"/>
        <w:rPr>
          <w:rFonts w:cs="Arial"/>
          <w:szCs w:val="24"/>
        </w:rPr>
      </w:pPr>
      <w:r w:rsidRPr="00630D78">
        <w:rPr>
          <w:rFonts w:cs="Arial"/>
          <w:szCs w:val="24"/>
        </w:rPr>
        <w:t>§ 3º Na hipótese do § 2º, a assinatura eletrônica será feita por qualquer meio de comprovação da autoria e integridade de documentos em forma eletrônica, inclusive os que utilizem certificados não emitidos pela ICP-Brasil, desde que emitido no Brasil e admitido pela CNRI.</w:t>
      </w:r>
    </w:p>
    <w:p w:rsidR="00630D78" w:rsidRPr="00630D78" w:rsidRDefault="00630D78" w:rsidP="00630D78">
      <w:pPr>
        <w:pStyle w:val="Recuodecorpodetexto2"/>
        <w:spacing w:after="200"/>
        <w:ind w:firstLine="2302"/>
        <w:rPr>
          <w:rFonts w:cs="Arial"/>
          <w:szCs w:val="24"/>
        </w:rPr>
      </w:pPr>
      <w:r w:rsidRPr="00630D78">
        <w:rPr>
          <w:rFonts w:cs="Arial"/>
          <w:b/>
          <w:szCs w:val="24"/>
        </w:rPr>
        <w:t>Art. 63.</w:t>
      </w:r>
      <w:r w:rsidRPr="00630D78">
        <w:rPr>
          <w:rFonts w:cs="Arial"/>
          <w:szCs w:val="24"/>
        </w:rPr>
        <w:t xml:space="preserve"> Para fins de apresentação eletrônica aos Registros de Imóveis e respectivo procedimento registral, o extrato substitui o contrato.</w:t>
      </w:r>
    </w:p>
    <w:p w:rsidR="00630D78" w:rsidRPr="00630D78" w:rsidRDefault="00630D78" w:rsidP="00630D78">
      <w:pPr>
        <w:pStyle w:val="Recuodecorpodetexto2"/>
        <w:spacing w:after="200"/>
        <w:ind w:firstLine="2302"/>
        <w:rPr>
          <w:rFonts w:cs="Arial"/>
          <w:szCs w:val="24"/>
        </w:rPr>
      </w:pPr>
      <w:r w:rsidRPr="00630D78">
        <w:rPr>
          <w:rFonts w:cs="Arial"/>
          <w:szCs w:val="24"/>
        </w:rPr>
        <w:t>§ 1º O título apresentado sob a forma de documento eletrônico estruturado dispensa a análise, pelo oficial, de elementos, cláusulas ou condições não constantes das informações do extrato, bem como da prévia atualização da matrícula quanto aos dados objetivos ou subjetivos previstos no art. 176, da Lei nº 6.015, de 31 de dezembro de 1973, salvo aqueles imprescindíveis para comprovar a subsunção do objeto e das partes àqueles constantes do título apresentado.</w:t>
      </w:r>
    </w:p>
    <w:p w:rsidR="00630D78" w:rsidRPr="00630D78" w:rsidRDefault="00630D78" w:rsidP="00630D78">
      <w:pPr>
        <w:pStyle w:val="Recuodecorpodetexto2"/>
        <w:spacing w:after="200"/>
        <w:ind w:firstLine="2302"/>
        <w:rPr>
          <w:rFonts w:cs="Arial"/>
          <w:szCs w:val="24"/>
        </w:rPr>
      </w:pPr>
      <w:r w:rsidRPr="00630D78">
        <w:rPr>
          <w:rFonts w:cs="Arial"/>
          <w:szCs w:val="24"/>
        </w:rPr>
        <w:t>§ 2º Junto à apresentação eletrônica do extrato os interessados poderão, a seu critério, solicitar o arquivamento da íntegra do instrumento contratual que lhe deu origem, enviado mediante arquivo eletrônico e declaração de que corresponde ao original firmado pelas partes, assinada eletronicamente.</w:t>
      </w:r>
    </w:p>
    <w:p w:rsidR="00FB45FB" w:rsidRDefault="00FB45FB" w:rsidP="00630D78">
      <w:pPr>
        <w:pStyle w:val="Recuodecorpodetexto2"/>
        <w:spacing w:after="200"/>
        <w:ind w:firstLine="2302"/>
        <w:rPr>
          <w:rFonts w:cs="Arial"/>
          <w:b/>
          <w:szCs w:val="24"/>
        </w:rPr>
      </w:pPr>
    </w:p>
    <w:p w:rsidR="00630D78" w:rsidRPr="00630D78" w:rsidRDefault="00630D78" w:rsidP="00630D78">
      <w:pPr>
        <w:pStyle w:val="Recuodecorpodetexto2"/>
        <w:spacing w:after="200"/>
        <w:ind w:firstLine="2302"/>
        <w:rPr>
          <w:rFonts w:cs="Arial"/>
          <w:szCs w:val="24"/>
        </w:rPr>
      </w:pPr>
      <w:r w:rsidRPr="00630D78">
        <w:rPr>
          <w:rFonts w:cs="Arial"/>
          <w:b/>
          <w:szCs w:val="24"/>
        </w:rPr>
        <w:t xml:space="preserve">Art. 64. </w:t>
      </w:r>
      <w:r w:rsidRPr="00630D78">
        <w:rPr>
          <w:rFonts w:cs="Arial"/>
          <w:szCs w:val="24"/>
        </w:rPr>
        <w:t>Ficam revogados:</w:t>
      </w:r>
    </w:p>
    <w:p w:rsidR="00630D78" w:rsidRPr="00630D78" w:rsidRDefault="00630D78" w:rsidP="00630D78">
      <w:pPr>
        <w:pStyle w:val="Recuodecorpodetexto2"/>
        <w:spacing w:after="200"/>
        <w:ind w:firstLine="2302"/>
        <w:rPr>
          <w:rFonts w:cs="Arial"/>
          <w:szCs w:val="24"/>
        </w:rPr>
      </w:pPr>
      <w:r w:rsidRPr="00630D78">
        <w:rPr>
          <w:rFonts w:cs="Arial"/>
          <w:szCs w:val="24"/>
        </w:rPr>
        <w:t>I – o art. 30 da Lei nº 4.728, de 14 de julho de 1965;</w:t>
      </w:r>
    </w:p>
    <w:p w:rsidR="00630D78" w:rsidRPr="00630D78" w:rsidRDefault="00630D78" w:rsidP="00630D78">
      <w:pPr>
        <w:pStyle w:val="Recuodecorpodetexto2"/>
        <w:spacing w:after="200"/>
        <w:ind w:firstLine="2302"/>
        <w:rPr>
          <w:rFonts w:cs="Arial"/>
          <w:szCs w:val="24"/>
        </w:rPr>
      </w:pPr>
      <w:r w:rsidRPr="00630D78">
        <w:rPr>
          <w:rFonts w:cs="Arial"/>
          <w:szCs w:val="24"/>
        </w:rPr>
        <w:t>II – o Decreto-Lei nº 13, de 18 de julho de 1966;</w:t>
      </w:r>
    </w:p>
    <w:p w:rsidR="00630D78" w:rsidRPr="00630D78" w:rsidRDefault="00630D78" w:rsidP="00630D78">
      <w:pPr>
        <w:pStyle w:val="Recuodecorpodetexto2"/>
        <w:spacing w:after="200"/>
        <w:ind w:firstLine="2302"/>
        <w:rPr>
          <w:rFonts w:cs="Arial"/>
          <w:szCs w:val="24"/>
        </w:rPr>
      </w:pPr>
      <w:r w:rsidRPr="00630D78">
        <w:rPr>
          <w:rFonts w:cs="Arial"/>
          <w:szCs w:val="24"/>
        </w:rPr>
        <w:t>III – o Decreto-Lei nº 14, de 29 de julho de 1966;</w:t>
      </w:r>
    </w:p>
    <w:p w:rsidR="00630D78" w:rsidRPr="00630D78" w:rsidRDefault="00630D78" w:rsidP="00630D78">
      <w:pPr>
        <w:pStyle w:val="Recuodecorpodetexto2"/>
        <w:spacing w:after="200"/>
        <w:ind w:firstLine="2302"/>
        <w:rPr>
          <w:rFonts w:cs="Arial"/>
          <w:szCs w:val="24"/>
        </w:rPr>
      </w:pPr>
      <w:r w:rsidRPr="00630D78">
        <w:rPr>
          <w:rFonts w:cs="Arial"/>
          <w:szCs w:val="24"/>
        </w:rPr>
        <w:t>IV – a alínea “d” do art. 20 do Decreto-Lei nº 73, de 21 de novembro de 1966;</w:t>
      </w:r>
    </w:p>
    <w:p w:rsidR="00630D78" w:rsidRPr="00630D78" w:rsidRDefault="00630D78" w:rsidP="00630D78">
      <w:pPr>
        <w:pStyle w:val="Recuodecorpodetexto2"/>
        <w:spacing w:after="200"/>
        <w:ind w:firstLine="2302"/>
        <w:rPr>
          <w:rFonts w:cs="Arial"/>
          <w:szCs w:val="24"/>
        </w:rPr>
      </w:pPr>
      <w:r w:rsidRPr="00630D78">
        <w:rPr>
          <w:rFonts w:cs="Arial"/>
          <w:szCs w:val="24"/>
        </w:rPr>
        <w:t>V – os seguintes dispositivos do Decreto-Lei nº 167, de 14 de fevereiro de 1967</w:t>
      </w:r>
    </w:p>
    <w:p w:rsidR="00630D78" w:rsidRPr="00630D78" w:rsidRDefault="00630D78" w:rsidP="00630D78">
      <w:pPr>
        <w:pStyle w:val="Recuodecorpodetexto2"/>
        <w:numPr>
          <w:ilvl w:val="0"/>
          <w:numId w:val="19"/>
        </w:numPr>
        <w:spacing w:after="200"/>
        <w:rPr>
          <w:rFonts w:cs="Arial"/>
          <w:szCs w:val="24"/>
        </w:rPr>
      </w:pPr>
      <w:r w:rsidRPr="00630D78">
        <w:rPr>
          <w:rFonts w:cs="Arial"/>
          <w:szCs w:val="24"/>
        </w:rPr>
        <w:t>os arts. 30 a 40; e</w:t>
      </w:r>
    </w:p>
    <w:p w:rsidR="00630D78" w:rsidRPr="00630D78" w:rsidRDefault="00630D78" w:rsidP="00630D78">
      <w:pPr>
        <w:pStyle w:val="Recuodecorpodetexto2"/>
        <w:numPr>
          <w:ilvl w:val="0"/>
          <w:numId w:val="19"/>
        </w:numPr>
        <w:spacing w:after="200"/>
        <w:rPr>
          <w:rFonts w:cs="Arial"/>
          <w:szCs w:val="24"/>
        </w:rPr>
      </w:pPr>
      <w:r w:rsidRPr="00630D78">
        <w:rPr>
          <w:rFonts w:cs="Arial"/>
          <w:szCs w:val="24"/>
        </w:rPr>
        <w:t>o parágrafo único do art. 42.</w:t>
      </w:r>
    </w:p>
    <w:p w:rsidR="00630D78" w:rsidRPr="00630D78" w:rsidRDefault="00630D78" w:rsidP="00630D78">
      <w:pPr>
        <w:pStyle w:val="Recuodecorpodetexto2"/>
        <w:spacing w:after="200"/>
        <w:ind w:firstLine="2302"/>
        <w:rPr>
          <w:rFonts w:cs="Arial"/>
          <w:szCs w:val="24"/>
        </w:rPr>
      </w:pPr>
      <w:r w:rsidRPr="00630D78">
        <w:rPr>
          <w:rFonts w:cs="Arial"/>
          <w:szCs w:val="24"/>
        </w:rPr>
        <w:t>VI – o item 13 do inciso I do art. 167 da Lei nº 6.015, de 31 de dezembro de 1973;</w:t>
      </w:r>
    </w:p>
    <w:p w:rsidR="00630D78" w:rsidRPr="00630D78" w:rsidRDefault="00630D78" w:rsidP="00630D78">
      <w:pPr>
        <w:pStyle w:val="Recuodecorpodetexto2"/>
        <w:spacing w:after="200"/>
        <w:ind w:firstLine="2302"/>
        <w:rPr>
          <w:rFonts w:cs="Arial"/>
          <w:szCs w:val="24"/>
        </w:rPr>
      </w:pPr>
      <w:r w:rsidRPr="00630D78">
        <w:rPr>
          <w:rFonts w:cs="Arial"/>
          <w:szCs w:val="24"/>
        </w:rPr>
        <w:t>VII – o art. 4º-A da Lei nº 8.427, de 27 de maio de 1992;</w:t>
      </w:r>
    </w:p>
    <w:p w:rsidR="00630D78" w:rsidRPr="00630D78" w:rsidRDefault="00630D78" w:rsidP="00630D78">
      <w:pPr>
        <w:pStyle w:val="Recuodecorpodetexto2"/>
        <w:spacing w:after="200"/>
        <w:ind w:firstLine="2302"/>
        <w:rPr>
          <w:rFonts w:cs="Arial"/>
          <w:szCs w:val="24"/>
        </w:rPr>
      </w:pPr>
      <w:r w:rsidRPr="00630D78">
        <w:rPr>
          <w:rFonts w:cs="Arial"/>
          <w:szCs w:val="24"/>
        </w:rPr>
        <w:t>VIII – o art. 19 da Lei nº 8.929, de 22 de agosto de 1994;</w:t>
      </w:r>
    </w:p>
    <w:p w:rsidR="00630D78" w:rsidRPr="00630D78" w:rsidRDefault="00630D78" w:rsidP="00630D78">
      <w:pPr>
        <w:pStyle w:val="Recuodecorpodetexto2"/>
        <w:spacing w:after="200"/>
        <w:ind w:firstLine="2302"/>
        <w:rPr>
          <w:rFonts w:cs="Arial"/>
          <w:szCs w:val="24"/>
        </w:rPr>
      </w:pPr>
      <w:r w:rsidRPr="00630D78">
        <w:rPr>
          <w:rFonts w:cs="Arial"/>
          <w:szCs w:val="24"/>
        </w:rPr>
        <w:t>IX - os seguintes dispositivos da Lei nº 11.076, de 30 de dezembro de 2004:</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a) o </w:t>
      </w:r>
      <w:hyperlink r:id="rId91" w:anchor="art20" w:history="1">
        <w:r w:rsidRPr="00630D78">
          <w:rPr>
            <w:rFonts w:cs="Arial"/>
            <w:szCs w:val="24"/>
          </w:rPr>
          <w:t>art. 20</w:t>
        </w:r>
      </w:hyperlink>
      <w:r w:rsidRPr="00630D78">
        <w:rPr>
          <w:rFonts w:cs="Arial"/>
          <w:szCs w:val="24"/>
        </w:rPr>
        <w:t>;</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b) os </w:t>
      </w:r>
      <w:hyperlink r:id="rId92" w:anchor="art24%C2%A72" w:history="1">
        <w:r w:rsidRPr="00630D78">
          <w:rPr>
            <w:rFonts w:cs="Arial"/>
            <w:szCs w:val="24"/>
          </w:rPr>
          <w:t>§ 2º e § 3º do art. 24;</w:t>
        </w:r>
      </w:hyperlink>
    </w:p>
    <w:p w:rsidR="00630D78" w:rsidRPr="00630D78" w:rsidRDefault="00630D78" w:rsidP="00630D78">
      <w:pPr>
        <w:pStyle w:val="Recuodecorpodetexto2"/>
        <w:spacing w:after="200"/>
        <w:ind w:firstLine="2302"/>
        <w:rPr>
          <w:rFonts w:cs="Arial"/>
          <w:szCs w:val="24"/>
        </w:rPr>
      </w:pPr>
      <w:r w:rsidRPr="00630D78">
        <w:rPr>
          <w:rFonts w:cs="Arial"/>
          <w:szCs w:val="24"/>
        </w:rPr>
        <w:t xml:space="preserve">c) o </w:t>
      </w:r>
      <w:hyperlink r:id="rId93" w:anchor="art25%C2%A74iii" w:history="1">
        <w:r w:rsidRPr="00630D78">
          <w:rPr>
            <w:rFonts w:cs="Arial"/>
            <w:szCs w:val="24"/>
          </w:rPr>
          <w:t>inciso III do § 4º do art. 25</w:t>
        </w:r>
      </w:hyperlink>
      <w:r w:rsidRPr="00630D78">
        <w:rPr>
          <w:rFonts w:cs="Arial"/>
          <w:szCs w:val="24"/>
        </w:rPr>
        <w:t>;</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d) o </w:t>
      </w:r>
      <w:hyperlink r:id="rId94" w:anchor="art27p" w:history="1">
        <w:r w:rsidRPr="00630D78">
          <w:rPr>
            <w:rFonts w:cs="Arial"/>
            <w:szCs w:val="24"/>
          </w:rPr>
          <w:t>parágrafo único do art. 27;</w:t>
        </w:r>
      </w:hyperlink>
    </w:p>
    <w:p w:rsidR="00630D78" w:rsidRPr="00630D78" w:rsidRDefault="00630D78" w:rsidP="00630D78">
      <w:pPr>
        <w:pStyle w:val="Recuodecorpodetexto2"/>
        <w:spacing w:after="200"/>
        <w:ind w:firstLine="2302"/>
        <w:rPr>
          <w:rFonts w:cs="Arial"/>
          <w:szCs w:val="24"/>
        </w:rPr>
      </w:pPr>
      <w:r w:rsidRPr="00630D78">
        <w:rPr>
          <w:rFonts w:cs="Arial"/>
          <w:szCs w:val="24"/>
        </w:rPr>
        <w:t xml:space="preserve">e) os </w:t>
      </w:r>
      <w:hyperlink r:id="rId95" w:anchor="art35i" w:history="1">
        <w:r w:rsidRPr="00630D78">
          <w:rPr>
            <w:rFonts w:cs="Arial"/>
            <w:szCs w:val="24"/>
          </w:rPr>
          <w:t xml:space="preserve">incisos I e II do </w:t>
        </w:r>
        <w:r w:rsidRPr="00630D78">
          <w:rPr>
            <w:rFonts w:cs="Arial"/>
            <w:b/>
            <w:szCs w:val="24"/>
          </w:rPr>
          <w:t>caput</w:t>
        </w:r>
      </w:hyperlink>
      <w:r w:rsidRPr="00630D78">
        <w:rPr>
          <w:rFonts w:cs="Arial"/>
          <w:szCs w:val="24"/>
        </w:rPr>
        <w:t xml:space="preserve"> e o </w:t>
      </w:r>
      <w:hyperlink r:id="rId96" w:anchor="art35p" w:history="1">
        <w:r w:rsidRPr="00630D78">
          <w:rPr>
            <w:rFonts w:cs="Arial"/>
            <w:szCs w:val="24"/>
          </w:rPr>
          <w:t>parágrafo único do art. 35</w:t>
        </w:r>
      </w:hyperlink>
      <w:r w:rsidRPr="00630D78">
        <w:rPr>
          <w:rFonts w:cs="Arial"/>
          <w:szCs w:val="24"/>
        </w:rPr>
        <w:t>; e</w:t>
      </w:r>
    </w:p>
    <w:p w:rsidR="00630D78" w:rsidRPr="00630D78" w:rsidRDefault="00630D78" w:rsidP="00630D78">
      <w:pPr>
        <w:pStyle w:val="Recuodecorpodetexto2"/>
        <w:spacing w:after="200"/>
        <w:ind w:firstLine="2302"/>
        <w:rPr>
          <w:rFonts w:cs="Arial"/>
          <w:szCs w:val="24"/>
        </w:rPr>
      </w:pPr>
      <w:r w:rsidRPr="00630D78">
        <w:rPr>
          <w:rFonts w:cs="Arial"/>
          <w:szCs w:val="24"/>
        </w:rPr>
        <w:t xml:space="preserve">f) o </w:t>
      </w:r>
      <w:hyperlink r:id="rId97" w:anchor="art37%C2%A73iii" w:history="1">
        <w:r w:rsidRPr="00630D78">
          <w:rPr>
            <w:rFonts w:cs="Arial"/>
            <w:szCs w:val="24"/>
          </w:rPr>
          <w:t>inciso III do § 3º do art. 37</w:t>
        </w:r>
      </w:hyperlink>
      <w:r w:rsidRPr="00630D78">
        <w:rPr>
          <w:rFonts w:cs="Arial"/>
          <w:szCs w:val="24"/>
        </w:rPr>
        <w:t>; e</w:t>
      </w:r>
    </w:p>
    <w:p w:rsidR="00630D78" w:rsidRDefault="00630D78" w:rsidP="00630D78">
      <w:pPr>
        <w:pStyle w:val="Recuodecorpodetexto2"/>
        <w:spacing w:after="200"/>
        <w:ind w:firstLine="2302"/>
        <w:rPr>
          <w:rFonts w:cs="Arial"/>
          <w:szCs w:val="24"/>
        </w:rPr>
      </w:pPr>
      <w:r w:rsidRPr="00630D78">
        <w:rPr>
          <w:rFonts w:cs="Arial"/>
          <w:szCs w:val="24"/>
        </w:rPr>
        <w:t xml:space="preserve">X – o </w:t>
      </w:r>
      <w:hyperlink r:id="rId98" w:anchor="art10" w:history="1">
        <w:r w:rsidRPr="00630D78">
          <w:rPr>
            <w:rFonts w:cs="Arial"/>
            <w:szCs w:val="24"/>
          </w:rPr>
          <w:t>art. 10 da Lei nº 13.476, de 28 de agosto de 2017</w:t>
        </w:r>
      </w:hyperlink>
      <w:r w:rsidRPr="00630D78">
        <w:rPr>
          <w:rFonts w:cs="Arial"/>
          <w:szCs w:val="24"/>
        </w:rPr>
        <w:t>.</w:t>
      </w:r>
    </w:p>
    <w:p w:rsidR="00B911AA" w:rsidRPr="00630D78" w:rsidRDefault="00B911AA" w:rsidP="00630D78">
      <w:pPr>
        <w:pStyle w:val="Recuodecorpodetexto2"/>
        <w:spacing w:after="200"/>
        <w:ind w:firstLine="2302"/>
        <w:rPr>
          <w:rFonts w:cs="Arial"/>
          <w:szCs w:val="24"/>
        </w:rPr>
      </w:pPr>
    </w:p>
    <w:p w:rsidR="00630D78" w:rsidRPr="00630D78" w:rsidRDefault="00630D78" w:rsidP="00630D78">
      <w:pPr>
        <w:pStyle w:val="Recuodecorpodetexto2"/>
        <w:spacing w:after="200"/>
        <w:ind w:firstLine="2302"/>
        <w:rPr>
          <w:rFonts w:cs="Arial"/>
          <w:szCs w:val="24"/>
        </w:rPr>
      </w:pPr>
      <w:bookmarkStart w:id="43" w:name="art48"/>
      <w:bookmarkEnd w:id="43"/>
      <w:r w:rsidRPr="00630D78">
        <w:rPr>
          <w:rFonts w:cs="Arial"/>
          <w:b/>
          <w:szCs w:val="24"/>
        </w:rPr>
        <w:t xml:space="preserve">Art. 65. </w:t>
      </w:r>
      <w:r w:rsidRPr="00630D78">
        <w:rPr>
          <w:rFonts w:cs="Arial"/>
          <w:szCs w:val="24"/>
        </w:rPr>
        <w:t>Esta Lei entra em vigor na data de sua publicação.</w:t>
      </w:r>
    </w:p>
    <w:p w:rsidR="00630D78" w:rsidRDefault="00630D78" w:rsidP="00630D78">
      <w:pPr>
        <w:pStyle w:val="texto10"/>
        <w:rPr>
          <w:rFonts w:ascii="Arial" w:hAnsi="Arial" w:cs="Arial"/>
          <w:szCs w:val="24"/>
        </w:rPr>
      </w:pPr>
      <w:r w:rsidRPr="00630D78">
        <w:rPr>
          <w:rFonts w:ascii="Arial" w:hAnsi="Arial" w:cs="Arial"/>
          <w:szCs w:val="24"/>
        </w:rPr>
        <w:t xml:space="preserve">                </w:t>
      </w:r>
    </w:p>
    <w:p w:rsidR="00630D78" w:rsidRPr="00630D78" w:rsidRDefault="00630D78" w:rsidP="00630D78">
      <w:pPr>
        <w:pStyle w:val="texto10"/>
        <w:rPr>
          <w:rFonts w:ascii="Arial" w:hAnsi="Arial" w:cs="Arial"/>
          <w:szCs w:val="24"/>
        </w:rPr>
      </w:pPr>
    </w:p>
    <w:p w:rsidR="00630D78" w:rsidRDefault="00630D78" w:rsidP="00630D78">
      <w:pPr>
        <w:pStyle w:val="texto10"/>
        <w:jc w:val="center"/>
        <w:rPr>
          <w:rFonts w:ascii="Arial" w:hAnsi="Arial" w:cs="Arial"/>
          <w:szCs w:val="24"/>
        </w:rPr>
      </w:pPr>
    </w:p>
    <w:p w:rsidR="00630D78" w:rsidRPr="00630D78" w:rsidRDefault="00630D78" w:rsidP="00630D78">
      <w:pPr>
        <w:pStyle w:val="texto10"/>
        <w:jc w:val="center"/>
        <w:rPr>
          <w:rFonts w:ascii="Arial" w:hAnsi="Arial" w:cs="Arial"/>
          <w:szCs w:val="24"/>
        </w:rPr>
      </w:pPr>
    </w:p>
    <w:p w:rsidR="00B2587E" w:rsidRPr="00630D78" w:rsidRDefault="00630D78" w:rsidP="00630D78">
      <w:pPr>
        <w:pStyle w:val="texto10"/>
        <w:jc w:val="center"/>
        <w:rPr>
          <w:rFonts w:ascii="Arial" w:hAnsi="Arial" w:cs="Arial"/>
          <w:szCs w:val="24"/>
        </w:rPr>
      </w:pPr>
      <w:r w:rsidRPr="00630D78">
        <w:rPr>
          <w:rFonts w:ascii="Arial" w:hAnsi="Arial" w:cs="Arial"/>
          <w:szCs w:val="24"/>
        </w:rPr>
        <w:t xml:space="preserve">       </w:t>
      </w:r>
      <w:r w:rsidR="00B911AA">
        <w:rPr>
          <w:rFonts w:ascii="Arial" w:hAnsi="Arial" w:cs="Arial"/>
          <w:szCs w:val="24"/>
        </w:rPr>
        <w:t>Deputado BENES LEOCÁDIO</w:t>
      </w:r>
    </w:p>
    <w:p w:rsidR="00B2587E" w:rsidRPr="00630D78" w:rsidRDefault="00B911AA" w:rsidP="00630D78">
      <w:pPr>
        <w:pStyle w:val="texto10"/>
        <w:jc w:val="center"/>
        <w:rPr>
          <w:rFonts w:ascii="Arial" w:hAnsi="Arial" w:cs="Arial"/>
          <w:szCs w:val="24"/>
        </w:rPr>
      </w:pPr>
      <w:r>
        <w:rPr>
          <w:rFonts w:ascii="Arial" w:hAnsi="Arial" w:cs="Arial"/>
          <w:szCs w:val="24"/>
        </w:rPr>
        <w:t>Vice-</w:t>
      </w:r>
      <w:r w:rsidR="00B2587E" w:rsidRPr="00630D78">
        <w:rPr>
          <w:rFonts w:ascii="Arial" w:hAnsi="Arial" w:cs="Arial"/>
          <w:szCs w:val="24"/>
        </w:rPr>
        <w:t>Presidente da Comissão</w:t>
      </w:r>
    </w:p>
    <w:p w:rsidR="00C50CCE" w:rsidRPr="00630D78" w:rsidRDefault="009920DB" w:rsidP="00630D78">
      <w:pPr>
        <w:pStyle w:val="texto10"/>
        <w:jc w:val="center"/>
        <w:rPr>
          <w:rFonts w:ascii="Arial" w:hAnsi="Arial" w:cs="Arial"/>
          <w:szCs w:val="24"/>
        </w:rPr>
      </w:pPr>
    </w:p>
    <w:p w:rsidR="00630D78" w:rsidRPr="00630D78" w:rsidRDefault="00630D78" w:rsidP="00630D78">
      <w:pPr>
        <w:pStyle w:val="texto10"/>
        <w:jc w:val="center"/>
        <w:rPr>
          <w:rFonts w:ascii="Arial" w:hAnsi="Arial" w:cs="Arial"/>
          <w:szCs w:val="24"/>
        </w:rPr>
      </w:pPr>
    </w:p>
    <w:p w:rsidR="00630D78" w:rsidRPr="00630D78" w:rsidRDefault="00630D78" w:rsidP="00630D78">
      <w:pPr>
        <w:pStyle w:val="10-Local-CLG"/>
        <w:jc w:val="right"/>
        <w:rPr>
          <w:rFonts w:ascii="Arial" w:hAnsi="Arial" w:cs="Arial"/>
          <w:sz w:val="24"/>
          <w:szCs w:val="24"/>
        </w:rPr>
      </w:pPr>
      <w:r w:rsidRPr="00630D78">
        <w:rPr>
          <w:rFonts w:ascii="Arial" w:hAnsi="Arial" w:cs="Arial"/>
          <w:sz w:val="24"/>
          <w:szCs w:val="24"/>
        </w:rPr>
        <w:t>Sala da Comissão, 4 de dezembro de 2019.</w:t>
      </w:r>
    </w:p>
    <w:p w:rsidR="00630D78" w:rsidRPr="00630D78" w:rsidRDefault="00630D78">
      <w:pPr>
        <w:rPr>
          <w:rFonts w:ascii="Arial" w:hAnsi="Arial" w:cs="Arial"/>
        </w:rPr>
      </w:pPr>
    </w:p>
    <w:sectPr w:rsidR="00630D78" w:rsidRPr="00630D78" w:rsidSect="006F333D">
      <w:footerReference w:type="default" r:id="rId99"/>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965B3">
        <w:pPr>
          <w:pStyle w:val="Rodap"/>
          <w:jc w:val="right"/>
        </w:pPr>
        <w:r>
          <w:fldChar w:fldCharType="begin"/>
        </w:r>
        <w:r w:rsidR="006F333D">
          <w:instrText>PAGE   \* MERGEFORMAT</w:instrText>
        </w:r>
        <w:r>
          <w:fldChar w:fldCharType="separate"/>
        </w:r>
        <w:r w:rsidR="009920DB">
          <w:rPr>
            <w:noProof/>
          </w:rPr>
          <w:t>1</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57758"/>
    <w:multiLevelType w:val="hybridMultilevel"/>
    <w:tmpl w:val="B748B26C"/>
    <w:lvl w:ilvl="0" w:tplc="04160001">
      <w:start w:val="1"/>
      <w:numFmt w:val="bullet"/>
      <w:lvlText w:val=""/>
      <w:lvlJc w:val="left"/>
      <w:pPr>
        <w:ind w:left="3045" w:hanging="360"/>
      </w:pPr>
      <w:rPr>
        <w:rFonts w:ascii="Symbol" w:hAnsi="Symbol" w:hint="default"/>
      </w:rPr>
    </w:lvl>
    <w:lvl w:ilvl="1" w:tplc="04160003" w:tentative="1">
      <w:start w:val="1"/>
      <w:numFmt w:val="bullet"/>
      <w:lvlText w:val="o"/>
      <w:lvlJc w:val="left"/>
      <w:pPr>
        <w:ind w:left="3765" w:hanging="360"/>
      </w:pPr>
      <w:rPr>
        <w:rFonts w:ascii="Courier New" w:hAnsi="Courier New" w:cs="Courier New" w:hint="default"/>
      </w:rPr>
    </w:lvl>
    <w:lvl w:ilvl="2" w:tplc="04160005" w:tentative="1">
      <w:start w:val="1"/>
      <w:numFmt w:val="bullet"/>
      <w:lvlText w:val=""/>
      <w:lvlJc w:val="left"/>
      <w:pPr>
        <w:ind w:left="4485" w:hanging="360"/>
      </w:pPr>
      <w:rPr>
        <w:rFonts w:ascii="Wingdings" w:hAnsi="Wingdings" w:hint="default"/>
      </w:rPr>
    </w:lvl>
    <w:lvl w:ilvl="3" w:tplc="04160001" w:tentative="1">
      <w:start w:val="1"/>
      <w:numFmt w:val="bullet"/>
      <w:lvlText w:val=""/>
      <w:lvlJc w:val="left"/>
      <w:pPr>
        <w:ind w:left="5205" w:hanging="360"/>
      </w:pPr>
      <w:rPr>
        <w:rFonts w:ascii="Symbol" w:hAnsi="Symbol" w:hint="default"/>
      </w:rPr>
    </w:lvl>
    <w:lvl w:ilvl="4" w:tplc="04160003" w:tentative="1">
      <w:start w:val="1"/>
      <w:numFmt w:val="bullet"/>
      <w:lvlText w:val="o"/>
      <w:lvlJc w:val="left"/>
      <w:pPr>
        <w:ind w:left="5925" w:hanging="360"/>
      </w:pPr>
      <w:rPr>
        <w:rFonts w:ascii="Courier New" w:hAnsi="Courier New" w:cs="Courier New" w:hint="default"/>
      </w:rPr>
    </w:lvl>
    <w:lvl w:ilvl="5" w:tplc="04160005" w:tentative="1">
      <w:start w:val="1"/>
      <w:numFmt w:val="bullet"/>
      <w:lvlText w:val=""/>
      <w:lvlJc w:val="left"/>
      <w:pPr>
        <w:ind w:left="6645" w:hanging="360"/>
      </w:pPr>
      <w:rPr>
        <w:rFonts w:ascii="Wingdings" w:hAnsi="Wingdings" w:hint="default"/>
      </w:rPr>
    </w:lvl>
    <w:lvl w:ilvl="6" w:tplc="04160001" w:tentative="1">
      <w:start w:val="1"/>
      <w:numFmt w:val="bullet"/>
      <w:lvlText w:val=""/>
      <w:lvlJc w:val="left"/>
      <w:pPr>
        <w:ind w:left="7365" w:hanging="360"/>
      </w:pPr>
      <w:rPr>
        <w:rFonts w:ascii="Symbol" w:hAnsi="Symbol" w:hint="default"/>
      </w:rPr>
    </w:lvl>
    <w:lvl w:ilvl="7" w:tplc="04160003" w:tentative="1">
      <w:start w:val="1"/>
      <w:numFmt w:val="bullet"/>
      <w:lvlText w:val="o"/>
      <w:lvlJc w:val="left"/>
      <w:pPr>
        <w:ind w:left="8085" w:hanging="360"/>
      </w:pPr>
      <w:rPr>
        <w:rFonts w:ascii="Courier New" w:hAnsi="Courier New" w:cs="Courier New" w:hint="default"/>
      </w:rPr>
    </w:lvl>
    <w:lvl w:ilvl="8" w:tplc="04160005" w:tentative="1">
      <w:start w:val="1"/>
      <w:numFmt w:val="bullet"/>
      <w:lvlText w:val=""/>
      <w:lvlJc w:val="left"/>
      <w:pPr>
        <w:ind w:left="8805" w:hanging="360"/>
      </w:pPr>
      <w:rPr>
        <w:rFonts w:ascii="Wingdings" w:hAnsi="Wingdings" w:hint="default"/>
      </w:rPr>
    </w:lvl>
  </w:abstractNum>
  <w:abstractNum w:abstractNumId="1" w15:restartNumberingAfterBreak="0">
    <w:nsid w:val="06907E8D"/>
    <w:multiLevelType w:val="hybridMultilevel"/>
    <w:tmpl w:val="A5FE9300"/>
    <w:lvl w:ilvl="0" w:tplc="04160001">
      <w:start w:val="1"/>
      <w:numFmt w:val="bullet"/>
      <w:lvlText w:val=""/>
      <w:lvlJc w:val="left"/>
      <w:pPr>
        <w:ind w:left="3045" w:hanging="360"/>
      </w:pPr>
      <w:rPr>
        <w:rFonts w:ascii="Symbol" w:hAnsi="Symbol" w:hint="default"/>
      </w:rPr>
    </w:lvl>
    <w:lvl w:ilvl="1" w:tplc="04160003" w:tentative="1">
      <w:start w:val="1"/>
      <w:numFmt w:val="bullet"/>
      <w:lvlText w:val="o"/>
      <w:lvlJc w:val="left"/>
      <w:pPr>
        <w:ind w:left="3765" w:hanging="360"/>
      </w:pPr>
      <w:rPr>
        <w:rFonts w:ascii="Courier New" w:hAnsi="Courier New" w:cs="Courier New" w:hint="default"/>
      </w:rPr>
    </w:lvl>
    <w:lvl w:ilvl="2" w:tplc="04160005" w:tentative="1">
      <w:start w:val="1"/>
      <w:numFmt w:val="bullet"/>
      <w:lvlText w:val=""/>
      <w:lvlJc w:val="left"/>
      <w:pPr>
        <w:ind w:left="4485" w:hanging="360"/>
      </w:pPr>
      <w:rPr>
        <w:rFonts w:ascii="Wingdings" w:hAnsi="Wingdings" w:hint="default"/>
      </w:rPr>
    </w:lvl>
    <w:lvl w:ilvl="3" w:tplc="04160001" w:tentative="1">
      <w:start w:val="1"/>
      <w:numFmt w:val="bullet"/>
      <w:lvlText w:val=""/>
      <w:lvlJc w:val="left"/>
      <w:pPr>
        <w:ind w:left="5205" w:hanging="360"/>
      </w:pPr>
      <w:rPr>
        <w:rFonts w:ascii="Symbol" w:hAnsi="Symbol" w:hint="default"/>
      </w:rPr>
    </w:lvl>
    <w:lvl w:ilvl="4" w:tplc="04160003" w:tentative="1">
      <w:start w:val="1"/>
      <w:numFmt w:val="bullet"/>
      <w:lvlText w:val="o"/>
      <w:lvlJc w:val="left"/>
      <w:pPr>
        <w:ind w:left="5925" w:hanging="360"/>
      </w:pPr>
      <w:rPr>
        <w:rFonts w:ascii="Courier New" w:hAnsi="Courier New" w:cs="Courier New" w:hint="default"/>
      </w:rPr>
    </w:lvl>
    <w:lvl w:ilvl="5" w:tplc="04160005" w:tentative="1">
      <w:start w:val="1"/>
      <w:numFmt w:val="bullet"/>
      <w:lvlText w:val=""/>
      <w:lvlJc w:val="left"/>
      <w:pPr>
        <w:ind w:left="6645" w:hanging="360"/>
      </w:pPr>
      <w:rPr>
        <w:rFonts w:ascii="Wingdings" w:hAnsi="Wingdings" w:hint="default"/>
      </w:rPr>
    </w:lvl>
    <w:lvl w:ilvl="6" w:tplc="04160001" w:tentative="1">
      <w:start w:val="1"/>
      <w:numFmt w:val="bullet"/>
      <w:lvlText w:val=""/>
      <w:lvlJc w:val="left"/>
      <w:pPr>
        <w:ind w:left="7365" w:hanging="360"/>
      </w:pPr>
      <w:rPr>
        <w:rFonts w:ascii="Symbol" w:hAnsi="Symbol" w:hint="default"/>
      </w:rPr>
    </w:lvl>
    <w:lvl w:ilvl="7" w:tplc="04160003" w:tentative="1">
      <w:start w:val="1"/>
      <w:numFmt w:val="bullet"/>
      <w:lvlText w:val="o"/>
      <w:lvlJc w:val="left"/>
      <w:pPr>
        <w:ind w:left="8085" w:hanging="360"/>
      </w:pPr>
      <w:rPr>
        <w:rFonts w:ascii="Courier New" w:hAnsi="Courier New" w:cs="Courier New" w:hint="default"/>
      </w:rPr>
    </w:lvl>
    <w:lvl w:ilvl="8" w:tplc="04160005" w:tentative="1">
      <w:start w:val="1"/>
      <w:numFmt w:val="bullet"/>
      <w:lvlText w:val=""/>
      <w:lvlJc w:val="left"/>
      <w:pPr>
        <w:ind w:left="8805" w:hanging="360"/>
      </w:pPr>
      <w:rPr>
        <w:rFonts w:ascii="Wingdings" w:hAnsi="Wingdings" w:hint="default"/>
      </w:rPr>
    </w:lvl>
  </w:abstractNum>
  <w:abstractNum w:abstractNumId="2" w15:restartNumberingAfterBreak="0">
    <w:nsid w:val="21DF2BD5"/>
    <w:multiLevelType w:val="hybridMultilevel"/>
    <w:tmpl w:val="D5F81376"/>
    <w:lvl w:ilvl="0" w:tplc="04160001">
      <w:start w:val="1"/>
      <w:numFmt w:val="bullet"/>
      <w:lvlText w:val=""/>
      <w:lvlJc w:val="left"/>
      <w:pPr>
        <w:ind w:left="2421" w:hanging="360"/>
      </w:pPr>
      <w:rPr>
        <w:rFonts w:ascii="Symbol" w:hAnsi="Symbol" w:hint="default"/>
      </w:rPr>
    </w:lvl>
    <w:lvl w:ilvl="1" w:tplc="04160003" w:tentative="1">
      <w:start w:val="1"/>
      <w:numFmt w:val="bullet"/>
      <w:lvlText w:val="o"/>
      <w:lvlJc w:val="left"/>
      <w:pPr>
        <w:ind w:left="3141" w:hanging="360"/>
      </w:pPr>
      <w:rPr>
        <w:rFonts w:ascii="Courier New" w:hAnsi="Courier New" w:cs="Courier New" w:hint="default"/>
      </w:rPr>
    </w:lvl>
    <w:lvl w:ilvl="2" w:tplc="04160005" w:tentative="1">
      <w:start w:val="1"/>
      <w:numFmt w:val="bullet"/>
      <w:lvlText w:val=""/>
      <w:lvlJc w:val="left"/>
      <w:pPr>
        <w:ind w:left="3861" w:hanging="360"/>
      </w:pPr>
      <w:rPr>
        <w:rFonts w:ascii="Wingdings" w:hAnsi="Wingdings" w:hint="default"/>
      </w:rPr>
    </w:lvl>
    <w:lvl w:ilvl="3" w:tplc="04160001" w:tentative="1">
      <w:start w:val="1"/>
      <w:numFmt w:val="bullet"/>
      <w:lvlText w:val=""/>
      <w:lvlJc w:val="left"/>
      <w:pPr>
        <w:ind w:left="4581" w:hanging="360"/>
      </w:pPr>
      <w:rPr>
        <w:rFonts w:ascii="Symbol" w:hAnsi="Symbol" w:hint="default"/>
      </w:rPr>
    </w:lvl>
    <w:lvl w:ilvl="4" w:tplc="04160003" w:tentative="1">
      <w:start w:val="1"/>
      <w:numFmt w:val="bullet"/>
      <w:lvlText w:val="o"/>
      <w:lvlJc w:val="left"/>
      <w:pPr>
        <w:ind w:left="5301" w:hanging="360"/>
      </w:pPr>
      <w:rPr>
        <w:rFonts w:ascii="Courier New" w:hAnsi="Courier New" w:cs="Courier New" w:hint="default"/>
      </w:rPr>
    </w:lvl>
    <w:lvl w:ilvl="5" w:tplc="04160005" w:tentative="1">
      <w:start w:val="1"/>
      <w:numFmt w:val="bullet"/>
      <w:lvlText w:val=""/>
      <w:lvlJc w:val="left"/>
      <w:pPr>
        <w:ind w:left="6021" w:hanging="360"/>
      </w:pPr>
      <w:rPr>
        <w:rFonts w:ascii="Wingdings" w:hAnsi="Wingdings" w:hint="default"/>
      </w:rPr>
    </w:lvl>
    <w:lvl w:ilvl="6" w:tplc="04160001" w:tentative="1">
      <w:start w:val="1"/>
      <w:numFmt w:val="bullet"/>
      <w:lvlText w:val=""/>
      <w:lvlJc w:val="left"/>
      <w:pPr>
        <w:ind w:left="6741" w:hanging="360"/>
      </w:pPr>
      <w:rPr>
        <w:rFonts w:ascii="Symbol" w:hAnsi="Symbol" w:hint="default"/>
      </w:rPr>
    </w:lvl>
    <w:lvl w:ilvl="7" w:tplc="04160003" w:tentative="1">
      <w:start w:val="1"/>
      <w:numFmt w:val="bullet"/>
      <w:lvlText w:val="o"/>
      <w:lvlJc w:val="left"/>
      <w:pPr>
        <w:ind w:left="7461" w:hanging="360"/>
      </w:pPr>
      <w:rPr>
        <w:rFonts w:ascii="Courier New" w:hAnsi="Courier New" w:cs="Courier New" w:hint="default"/>
      </w:rPr>
    </w:lvl>
    <w:lvl w:ilvl="8" w:tplc="04160005" w:tentative="1">
      <w:start w:val="1"/>
      <w:numFmt w:val="bullet"/>
      <w:lvlText w:val=""/>
      <w:lvlJc w:val="left"/>
      <w:pPr>
        <w:ind w:left="8181" w:hanging="360"/>
      </w:pPr>
      <w:rPr>
        <w:rFonts w:ascii="Wingdings" w:hAnsi="Wingdings" w:hint="default"/>
      </w:rPr>
    </w:lvl>
  </w:abstractNum>
  <w:abstractNum w:abstractNumId="3" w15:restartNumberingAfterBreak="0">
    <w:nsid w:val="2C265C79"/>
    <w:multiLevelType w:val="hybridMultilevel"/>
    <w:tmpl w:val="AE1E51FC"/>
    <w:lvl w:ilvl="0" w:tplc="D2F20464">
      <w:start w:val="1"/>
      <w:numFmt w:val="lowerRoman"/>
      <w:lvlText w:val="(%1)"/>
      <w:lvlJc w:val="left"/>
      <w:pPr>
        <w:ind w:left="2563" w:hanging="360"/>
      </w:pPr>
      <w:rPr>
        <w:rFonts w:hint="default"/>
      </w:rPr>
    </w:lvl>
    <w:lvl w:ilvl="1" w:tplc="04160019" w:tentative="1">
      <w:start w:val="1"/>
      <w:numFmt w:val="lowerLetter"/>
      <w:lvlText w:val="%2."/>
      <w:lvlJc w:val="left"/>
      <w:pPr>
        <w:ind w:left="3283" w:hanging="360"/>
      </w:pPr>
    </w:lvl>
    <w:lvl w:ilvl="2" w:tplc="0416001B" w:tentative="1">
      <w:start w:val="1"/>
      <w:numFmt w:val="lowerRoman"/>
      <w:lvlText w:val="%3."/>
      <w:lvlJc w:val="right"/>
      <w:pPr>
        <w:ind w:left="4003" w:hanging="180"/>
      </w:pPr>
    </w:lvl>
    <w:lvl w:ilvl="3" w:tplc="0416000F" w:tentative="1">
      <w:start w:val="1"/>
      <w:numFmt w:val="decimal"/>
      <w:lvlText w:val="%4."/>
      <w:lvlJc w:val="left"/>
      <w:pPr>
        <w:ind w:left="4723" w:hanging="360"/>
      </w:pPr>
    </w:lvl>
    <w:lvl w:ilvl="4" w:tplc="04160019" w:tentative="1">
      <w:start w:val="1"/>
      <w:numFmt w:val="lowerLetter"/>
      <w:lvlText w:val="%5."/>
      <w:lvlJc w:val="left"/>
      <w:pPr>
        <w:ind w:left="5443" w:hanging="360"/>
      </w:pPr>
    </w:lvl>
    <w:lvl w:ilvl="5" w:tplc="0416001B" w:tentative="1">
      <w:start w:val="1"/>
      <w:numFmt w:val="lowerRoman"/>
      <w:lvlText w:val="%6."/>
      <w:lvlJc w:val="right"/>
      <w:pPr>
        <w:ind w:left="6163" w:hanging="180"/>
      </w:pPr>
    </w:lvl>
    <w:lvl w:ilvl="6" w:tplc="0416000F" w:tentative="1">
      <w:start w:val="1"/>
      <w:numFmt w:val="decimal"/>
      <w:lvlText w:val="%7."/>
      <w:lvlJc w:val="left"/>
      <w:pPr>
        <w:ind w:left="6883" w:hanging="360"/>
      </w:pPr>
    </w:lvl>
    <w:lvl w:ilvl="7" w:tplc="04160019" w:tentative="1">
      <w:start w:val="1"/>
      <w:numFmt w:val="lowerLetter"/>
      <w:lvlText w:val="%8."/>
      <w:lvlJc w:val="left"/>
      <w:pPr>
        <w:ind w:left="7603" w:hanging="360"/>
      </w:pPr>
    </w:lvl>
    <w:lvl w:ilvl="8" w:tplc="0416001B" w:tentative="1">
      <w:start w:val="1"/>
      <w:numFmt w:val="lowerRoman"/>
      <w:lvlText w:val="%9."/>
      <w:lvlJc w:val="right"/>
      <w:pPr>
        <w:ind w:left="8323" w:hanging="180"/>
      </w:pPr>
    </w:lvl>
  </w:abstractNum>
  <w:abstractNum w:abstractNumId="4" w15:restartNumberingAfterBreak="0">
    <w:nsid w:val="2F981088"/>
    <w:multiLevelType w:val="hybridMultilevel"/>
    <w:tmpl w:val="9A08B7FC"/>
    <w:lvl w:ilvl="0" w:tplc="2202FBDA">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5" w15:restartNumberingAfterBreak="0">
    <w:nsid w:val="30310211"/>
    <w:multiLevelType w:val="multilevel"/>
    <w:tmpl w:val="041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A2137E9"/>
    <w:multiLevelType w:val="multilevel"/>
    <w:tmpl w:val="041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3E591C6D"/>
    <w:multiLevelType w:val="hybridMultilevel"/>
    <w:tmpl w:val="F808F148"/>
    <w:lvl w:ilvl="0" w:tplc="853E0F3C">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8" w15:restartNumberingAfterBreak="0">
    <w:nsid w:val="4EAD7997"/>
    <w:multiLevelType w:val="hybridMultilevel"/>
    <w:tmpl w:val="B39E6660"/>
    <w:lvl w:ilvl="0" w:tplc="D2F20464">
      <w:start w:val="1"/>
      <w:numFmt w:val="lowerRoman"/>
      <w:lvlText w:val="(%1)"/>
      <w:lvlJc w:val="left"/>
      <w:pPr>
        <w:ind w:left="2421" w:hanging="72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9" w15:restartNumberingAfterBreak="0">
    <w:nsid w:val="55032AAA"/>
    <w:multiLevelType w:val="hybridMultilevel"/>
    <w:tmpl w:val="0044A672"/>
    <w:lvl w:ilvl="0" w:tplc="04160001">
      <w:start w:val="1"/>
      <w:numFmt w:val="bullet"/>
      <w:lvlText w:val=""/>
      <w:lvlJc w:val="left"/>
      <w:pPr>
        <w:ind w:left="3045" w:hanging="360"/>
      </w:pPr>
      <w:rPr>
        <w:rFonts w:ascii="Symbol" w:hAnsi="Symbol" w:hint="default"/>
      </w:rPr>
    </w:lvl>
    <w:lvl w:ilvl="1" w:tplc="04160003">
      <w:start w:val="1"/>
      <w:numFmt w:val="bullet"/>
      <w:lvlText w:val="o"/>
      <w:lvlJc w:val="left"/>
      <w:pPr>
        <w:ind w:left="3765" w:hanging="360"/>
      </w:pPr>
      <w:rPr>
        <w:rFonts w:ascii="Courier New" w:hAnsi="Courier New" w:cs="Courier New" w:hint="default"/>
      </w:rPr>
    </w:lvl>
    <w:lvl w:ilvl="2" w:tplc="04160005" w:tentative="1">
      <w:start w:val="1"/>
      <w:numFmt w:val="bullet"/>
      <w:lvlText w:val=""/>
      <w:lvlJc w:val="left"/>
      <w:pPr>
        <w:ind w:left="4485" w:hanging="360"/>
      </w:pPr>
      <w:rPr>
        <w:rFonts w:ascii="Wingdings" w:hAnsi="Wingdings" w:hint="default"/>
      </w:rPr>
    </w:lvl>
    <w:lvl w:ilvl="3" w:tplc="04160001" w:tentative="1">
      <w:start w:val="1"/>
      <w:numFmt w:val="bullet"/>
      <w:lvlText w:val=""/>
      <w:lvlJc w:val="left"/>
      <w:pPr>
        <w:ind w:left="5205" w:hanging="360"/>
      </w:pPr>
      <w:rPr>
        <w:rFonts w:ascii="Symbol" w:hAnsi="Symbol" w:hint="default"/>
      </w:rPr>
    </w:lvl>
    <w:lvl w:ilvl="4" w:tplc="04160003" w:tentative="1">
      <w:start w:val="1"/>
      <w:numFmt w:val="bullet"/>
      <w:lvlText w:val="o"/>
      <w:lvlJc w:val="left"/>
      <w:pPr>
        <w:ind w:left="5925" w:hanging="360"/>
      </w:pPr>
      <w:rPr>
        <w:rFonts w:ascii="Courier New" w:hAnsi="Courier New" w:cs="Courier New" w:hint="default"/>
      </w:rPr>
    </w:lvl>
    <w:lvl w:ilvl="5" w:tplc="04160005" w:tentative="1">
      <w:start w:val="1"/>
      <w:numFmt w:val="bullet"/>
      <w:lvlText w:val=""/>
      <w:lvlJc w:val="left"/>
      <w:pPr>
        <w:ind w:left="6645" w:hanging="360"/>
      </w:pPr>
      <w:rPr>
        <w:rFonts w:ascii="Wingdings" w:hAnsi="Wingdings" w:hint="default"/>
      </w:rPr>
    </w:lvl>
    <w:lvl w:ilvl="6" w:tplc="04160001" w:tentative="1">
      <w:start w:val="1"/>
      <w:numFmt w:val="bullet"/>
      <w:lvlText w:val=""/>
      <w:lvlJc w:val="left"/>
      <w:pPr>
        <w:ind w:left="7365" w:hanging="360"/>
      </w:pPr>
      <w:rPr>
        <w:rFonts w:ascii="Symbol" w:hAnsi="Symbol" w:hint="default"/>
      </w:rPr>
    </w:lvl>
    <w:lvl w:ilvl="7" w:tplc="04160003" w:tentative="1">
      <w:start w:val="1"/>
      <w:numFmt w:val="bullet"/>
      <w:lvlText w:val="o"/>
      <w:lvlJc w:val="left"/>
      <w:pPr>
        <w:ind w:left="8085" w:hanging="360"/>
      </w:pPr>
      <w:rPr>
        <w:rFonts w:ascii="Courier New" w:hAnsi="Courier New" w:cs="Courier New" w:hint="default"/>
      </w:rPr>
    </w:lvl>
    <w:lvl w:ilvl="8" w:tplc="04160005" w:tentative="1">
      <w:start w:val="1"/>
      <w:numFmt w:val="bullet"/>
      <w:lvlText w:val=""/>
      <w:lvlJc w:val="left"/>
      <w:pPr>
        <w:ind w:left="8805" w:hanging="360"/>
      </w:pPr>
      <w:rPr>
        <w:rFonts w:ascii="Wingdings" w:hAnsi="Wingdings" w:hint="default"/>
      </w:rPr>
    </w:lvl>
  </w:abstractNum>
  <w:abstractNum w:abstractNumId="10" w15:restartNumberingAfterBreak="0">
    <w:nsid w:val="57B91F28"/>
    <w:multiLevelType w:val="hybridMultilevel"/>
    <w:tmpl w:val="D47880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FF44EDF"/>
    <w:multiLevelType w:val="multilevel"/>
    <w:tmpl w:val="17F8EF38"/>
    <w:lvl w:ilvl="0">
      <w:start w:val="1"/>
      <w:numFmt w:val="upperLetter"/>
      <w:pStyle w:val="Ttulo7"/>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09D4298"/>
    <w:multiLevelType w:val="hybridMultilevel"/>
    <w:tmpl w:val="97042046"/>
    <w:lvl w:ilvl="0" w:tplc="FCC01308">
      <w:start w:val="1"/>
      <w:numFmt w:val="lowerLetter"/>
      <w:lvlText w:val="%1)"/>
      <w:lvlJc w:val="left"/>
      <w:pPr>
        <w:ind w:left="2662" w:hanging="360"/>
      </w:pPr>
      <w:rPr>
        <w:rFonts w:hint="default"/>
      </w:rPr>
    </w:lvl>
    <w:lvl w:ilvl="1" w:tplc="04160019" w:tentative="1">
      <w:start w:val="1"/>
      <w:numFmt w:val="lowerLetter"/>
      <w:lvlText w:val="%2."/>
      <w:lvlJc w:val="left"/>
      <w:pPr>
        <w:ind w:left="3382" w:hanging="360"/>
      </w:pPr>
    </w:lvl>
    <w:lvl w:ilvl="2" w:tplc="0416001B" w:tentative="1">
      <w:start w:val="1"/>
      <w:numFmt w:val="lowerRoman"/>
      <w:lvlText w:val="%3."/>
      <w:lvlJc w:val="right"/>
      <w:pPr>
        <w:ind w:left="4102" w:hanging="180"/>
      </w:pPr>
    </w:lvl>
    <w:lvl w:ilvl="3" w:tplc="0416000F" w:tentative="1">
      <w:start w:val="1"/>
      <w:numFmt w:val="decimal"/>
      <w:lvlText w:val="%4."/>
      <w:lvlJc w:val="left"/>
      <w:pPr>
        <w:ind w:left="4822" w:hanging="360"/>
      </w:pPr>
    </w:lvl>
    <w:lvl w:ilvl="4" w:tplc="04160019" w:tentative="1">
      <w:start w:val="1"/>
      <w:numFmt w:val="lowerLetter"/>
      <w:lvlText w:val="%5."/>
      <w:lvlJc w:val="left"/>
      <w:pPr>
        <w:ind w:left="5542" w:hanging="360"/>
      </w:pPr>
    </w:lvl>
    <w:lvl w:ilvl="5" w:tplc="0416001B" w:tentative="1">
      <w:start w:val="1"/>
      <w:numFmt w:val="lowerRoman"/>
      <w:lvlText w:val="%6."/>
      <w:lvlJc w:val="right"/>
      <w:pPr>
        <w:ind w:left="6262" w:hanging="180"/>
      </w:pPr>
    </w:lvl>
    <w:lvl w:ilvl="6" w:tplc="0416000F" w:tentative="1">
      <w:start w:val="1"/>
      <w:numFmt w:val="decimal"/>
      <w:lvlText w:val="%7."/>
      <w:lvlJc w:val="left"/>
      <w:pPr>
        <w:ind w:left="6982" w:hanging="360"/>
      </w:pPr>
    </w:lvl>
    <w:lvl w:ilvl="7" w:tplc="04160019" w:tentative="1">
      <w:start w:val="1"/>
      <w:numFmt w:val="lowerLetter"/>
      <w:lvlText w:val="%8."/>
      <w:lvlJc w:val="left"/>
      <w:pPr>
        <w:ind w:left="7702" w:hanging="360"/>
      </w:pPr>
    </w:lvl>
    <w:lvl w:ilvl="8" w:tplc="0416001B" w:tentative="1">
      <w:start w:val="1"/>
      <w:numFmt w:val="lowerRoman"/>
      <w:lvlText w:val="%9."/>
      <w:lvlJc w:val="right"/>
      <w:pPr>
        <w:ind w:left="8422" w:hanging="180"/>
      </w:pPr>
    </w:lvl>
  </w:abstractNum>
  <w:abstractNum w:abstractNumId="13" w15:restartNumberingAfterBreak="0">
    <w:nsid w:val="60C777D6"/>
    <w:multiLevelType w:val="hybridMultilevel"/>
    <w:tmpl w:val="1DEAF472"/>
    <w:lvl w:ilvl="0" w:tplc="D2F20464">
      <w:start w:val="1"/>
      <w:numFmt w:val="lowerRoman"/>
      <w:lvlText w:val="(%1)"/>
      <w:lvlJc w:val="left"/>
      <w:pPr>
        <w:ind w:left="2563" w:hanging="360"/>
      </w:pPr>
      <w:rPr>
        <w:rFonts w:hint="default"/>
      </w:rPr>
    </w:lvl>
    <w:lvl w:ilvl="1" w:tplc="04160019" w:tentative="1">
      <w:start w:val="1"/>
      <w:numFmt w:val="lowerLetter"/>
      <w:lvlText w:val="%2."/>
      <w:lvlJc w:val="left"/>
      <w:pPr>
        <w:ind w:left="3283" w:hanging="360"/>
      </w:pPr>
    </w:lvl>
    <w:lvl w:ilvl="2" w:tplc="0416001B" w:tentative="1">
      <w:start w:val="1"/>
      <w:numFmt w:val="lowerRoman"/>
      <w:lvlText w:val="%3."/>
      <w:lvlJc w:val="right"/>
      <w:pPr>
        <w:ind w:left="4003" w:hanging="180"/>
      </w:pPr>
    </w:lvl>
    <w:lvl w:ilvl="3" w:tplc="0416000F" w:tentative="1">
      <w:start w:val="1"/>
      <w:numFmt w:val="decimal"/>
      <w:lvlText w:val="%4."/>
      <w:lvlJc w:val="left"/>
      <w:pPr>
        <w:ind w:left="4723" w:hanging="360"/>
      </w:pPr>
    </w:lvl>
    <w:lvl w:ilvl="4" w:tplc="04160019" w:tentative="1">
      <w:start w:val="1"/>
      <w:numFmt w:val="lowerLetter"/>
      <w:lvlText w:val="%5."/>
      <w:lvlJc w:val="left"/>
      <w:pPr>
        <w:ind w:left="5443" w:hanging="360"/>
      </w:pPr>
    </w:lvl>
    <w:lvl w:ilvl="5" w:tplc="0416001B" w:tentative="1">
      <w:start w:val="1"/>
      <w:numFmt w:val="lowerRoman"/>
      <w:lvlText w:val="%6."/>
      <w:lvlJc w:val="right"/>
      <w:pPr>
        <w:ind w:left="6163" w:hanging="180"/>
      </w:pPr>
    </w:lvl>
    <w:lvl w:ilvl="6" w:tplc="0416000F" w:tentative="1">
      <w:start w:val="1"/>
      <w:numFmt w:val="decimal"/>
      <w:lvlText w:val="%7."/>
      <w:lvlJc w:val="left"/>
      <w:pPr>
        <w:ind w:left="6883" w:hanging="360"/>
      </w:pPr>
    </w:lvl>
    <w:lvl w:ilvl="7" w:tplc="04160019" w:tentative="1">
      <w:start w:val="1"/>
      <w:numFmt w:val="lowerLetter"/>
      <w:lvlText w:val="%8."/>
      <w:lvlJc w:val="left"/>
      <w:pPr>
        <w:ind w:left="7603" w:hanging="360"/>
      </w:pPr>
    </w:lvl>
    <w:lvl w:ilvl="8" w:tplc="0416001B" w:tentative="1">
      <w:start w:val="1"/>
      <w:numFmt w:val="lowerRoman"/>
      <w:lvlText w:val="%9."/>
      <w:lvlJc w:val="right"/>
      <w:pPr>
        <w:ind w:left="8323" w:hanging="180"/>
      </w:pPr>
    </w:lvl>
  </w:abstractNum>
  <w:abstractNum w:abstractNumId="14" w15:restartNumberingAfterBreak="0">
    <w:nsid w:val="631F76CC"/>
    <w:multiLevelType w:val="hybridMultilevel"/>
    <w:tmpl w:val="4B9C1FC0"/>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15" w15:restartNumberingAfterBreak="0">
    <w:nsid w:val="69505E9E"/>
    <w:multiLevelType w:val="hybridMultilevel"/>
    <w:tmpl w:val="3B22F774"/>
    <w:lvl w:ilvl="0" w:tplc="D2F20464">
      <w:start w:val="1"/>
      <w:numFmt w:val="lowerRoman"/>
      <w:lvlText w:val="(%1)"/>
      <w:lvlJc w:val="left"/>
      <w:pPr>
        <w:ind w:left="2563" w:hanging="360"/>
      </w:pPr>
      <w:rPr>
        <w:rFonts w:hint="default"/>
      </w:rPr>
    </w:lvl>
    <w:lvl w:ilvl="1" w:tplc="04160019" w:tentative="1">
      <w:start w:val="1"/>
      <w:numFmt w:val="lowerLetter"/>
      <w:lvlText w:val="%2."/>
      <w:lvlJc w:val="left"/>
      <w:pPr>
        <w:ind w:left="3283" w:hanging="360"/>
      </w:pPr>
    </w:lvl>
    <w:lvl w:ilvl="2" w:tplc="0416001B" w:tentative="1">
      <w:start w:val="1"/>
      <w:numFmt w:val="lowerRoman"/>
      <w:lvlText w:val="%3."/>
      <w:lvlJc w:val="right"/>
      <w:pPr>
        <w:ind w:left="4003" w:hanging="180"/>
      </w:pPr>
    </w:lvl>
    <w:lvl w:ilvl="3" w:tplc="0416000F" w:tentative="1">
      <w:start w:val="1"/>
      <w:numFmt w:val="decimal"/>
      <w:lvlText w:val="%4."/>
      <w:lvlJc w:val="left"/>
      <w:pPr>
        <w:ind w:left="4723" w:hanging="360"/>
      </w:pPr>
    </w:lvl>
    <w:lvl w:ilvl="4" w:tplc="04160019" w:tentative="1">
      <w:start w:val="1"/>
      <w:numFmt w:val="lowerLetter"/>
      <w:lvlText w:val="%5."/>
      <w:lvlJc w:val="left"/>
      <w:pPr>
        <w:ind w:left="5443" w:hanging="360"/>
      </w:pPr>
    </w:lvl>
    <w:lvl w:ilvl="5" w:tplc="0416001B" w:tentative="1">
      <w:start w:val="1"/>
      <w:numFmt w:val="lowerRoman"/>
      <w:lvlText w:val="%6."/>
      <w:lvlJc w:val="right"/>
      <w:pPr>
        <w:ind w:left="6163" w:hanging="180"/>
      </w:pPr>
    </w:lvl>
    <w:lvl w:ilvl="6" w:tplc="0416000F" w:tentative="1">
      <w:start w:val="1"/>
      <w:numFmt w:val="decimal"/>
      <w:lvlText w:val="%7."/>
      <w:lvlJc w:val="left"/>
      <w:pPr>
        <w:ind w:left="6883" w:hanging="360"/>
      </w:pPr>
    </w:lvl>
    <w:lvl w:ilvl="7" w:tplc="04160019" w:tentative="1">
      <w:start w:val="1"/>
      <w:numFmt w:val="lowerLetter"/>
      <w:lvlText w:val="%8."/>
      <w:lvlJc w:val="left"/>
      <w:pPr>
        <w:ind w:left="7603" w:hanging="360"/>
      </w:pPr>
    </w:lvl>
    <w:lvl w:ilvl="8" w:tplc="0416001B" w:tentative="1">
      <w:start w:val="1"/>
      <w:numFmt w:val="lowerRoman"/>
      <w:lvlText w:val="%9."/>
      <w:lvlJc w:val="right"/>
      <w:pPr>
        <w:ind w:left="8323" w:hanging="180"/>
      </w:pPr>
    </w:lvl>
  </w:abstractNum>
  <w:abstractNum w:abstractNumId="16" w15:restartNumberingAfterBreak="0">
    <w:nsid w:val="6E3B159B"/>
    <w:multiLevelType w:val="hybridMultilevel"/>
    <w:tmpl w:val="213EAA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726C62EF"/>
    <w:multiLevelType w:val="singleLevel"/>
    <w:tmpl w:val="5E10F470"/>
    <w:lvl w:ilvl="0">
      <w:start w:val="1"/>
      <w:numFmt w:val="ordinal"/>
      <w:pStyle w:val="Artigo"/>
      <w:lvlText w:val="Art. %1 "/>
      <w:lvlJc w:val="left"/>
      <w:pPr>
        <w:tabs>
          <w:tab w:val="num" w:pos="1440"/>
        </w:tabs>
        <w:ind w:left="360" w:hanging="360"/>
      </w:pPr>
    </w:lvl>
  </w:abstractNum>
  <w:abstractNum w:abstractNumId="18" w15:restartNumberingAfterBreak="0">
    <w:nsid w:val="743D25C7"/>
    <w:multiLevelType w:val="hybridMultilevel"/>
    <w:tmpl w:val="0DCED5C6"/>
    <w:lvl w:ilvl="0" w:tplc="D2F20464">
      <w:start w:val="1"/>
      <w:numFmt w:val="lowerRoman"/>
      <w:lvlText w:val="(%1)"/>
      <w:lvlJc w:val="left"/>
      <w:pPr>
        <w:ind w:left="2563" w:hanging="360"/>
      </w:pPr>
      <w:rPr>
        <w:rFonts w:hint="default"/>
      </w:rPr>
    </w:lvl>
    <w:lvl w:ilvl="1" w:tplc="04160019" w:tentative="1">
      <w:start w:val="1"/>
      <w:numFmt w:val="lowerLetter"/>
      <w:lvlText w:val="%2."/>
      <w:lvlJc w:val="left"/>
      <w:pPr>
        <w:ind w:left="3283" w:hanging="360"/>
      </w:pPr>
    </w:lvl>
    <w:lvl w:ilvl="2" w:tplc="0416001B" w:tentative="1">
      <w:start w:val="1"/>
      <w:numFmt w:val="lowerRoman"/>
      <w:lvlText w:val="%3."/>
      <w:lvlJc w:val="right"/>
      <w:pPr>
        <w:ind w:left="4003" w:hanging="180"/>
      </w:pPr>
    </w:lvl>
    <w:lvl w:ilvl="3" w:tplc="0416000F" w:tentative="1">
      <w:start w:val="1"/>
      <w:numFmt w:val="decimal"/>
      <w:lvlText w:val="%4."/>
      <w:lvlJc w:val="left"/>
      <w:pPr>
        <w:ind w:left="4723" w:hanging="360"/>
      </w:pPr>
    </w:lvl>
    <w:lvl w:ilvl="4" w:tplc="04160019" w:tentative="1">
      <w:start w:val="1"/>
      <w:numFmt w:val="lowerLetter"/>
      <w:lvlText w:val="%5."/>
      <w:lvlJc w:val="left"/>
      <w:pPr>
        <w:ind w:left="5443" w:hanging="360"/>
      </w:pPr>
    </w:lvl>
    <w:lvl w:ilvl="5" w:tplc="0416001B" w:tentative="1">
      <w:start w:val="1"/>
      <w:numFmt w:val="lowerRoman"/>
      <w:lvlText w:val="%6."/>
      <w:lvlJc w:val="right"/>
      <w:pPr>
        <w:ind w:left="6163" w:hanging="180"/>
      </w:pPr>
    </w:lvl>
    <w:lvl w:ilvl="6" w:tplc="0416000F" w:tentative="1">
      <w:start w:val="1"/>
      <w:numFmt w:val="decimal"/>
      <w:lvlText w:val="%7."/>
      <w:lvlJc w:val="left"/>
      <w:pPr>
        <w:ind w:left="6883" w:hanging="360"/>
      </w:pPr>
    </w:lvl>
    <w:lvl w:ilvl="7" w:tplc="04160019" w:tentative="1">
      <w:start w:val="1"/>
      <w:numFmt w:val="lowerLetter"/>
      <w:lvlText w:val="%8."/>
      <w:lvlJc w:val="left"/>
      <w:pPr>
        <w:ind w:left="7603" w:hanging="360"/>
      </w:pPr>
    </w:lvl>
    <w:lvl w:ilvl="8" w:tplc="0416001B" w:tentative="1">
      <w:start w:val="1"/>
      <w:numFmt w:val="lowerRoman"/>
      <w:lvlText w:val="%9."/>
      <w:lvlJc w:val="right"/>
      <w:pPr>
        <w:ind w:left="8323" w:hanging="180"/>
      </w:pPr>
    </w:lvl>
  </w:abstractNum>
  <w:abstractNum w:abstractNumId="19" w15:restartNumberingAfterBreak="0">
    <w:nsid w:val="79421F70"/>
    <w:multiLevelType w:val="hybridMultilevel"/>
    <w:tmpl w:val="8B84DB88"/>
    <w:lvl w:ilvl="0" w:tplc="D2F20464">
      <w:start w:val="1"/>
      <w:numFmt w:val="lowerRoman"/>
      <w:lvlText w:val="(%1)"/>
      <w:lvlJc w:val="left"/>
      <w:pPr>
        <w:ind w:left="2563" w:hanging="360"/>
      </w:pPr>
      <w:rPr>
        <w:rFonts w:hint="default"/>
      </w:rPr>
    </w:lvl>
    <w:lvl w:ilvl="1" w:tplc="04160019" w:tentative="1">
      <w:start w:val="1"/>
      <w:numFmt w:val="lowerLetter"/>
      <w:lvlText w:val="%2."/>
      <w:lvlJc w:val="left"/>
      <w:pPr>
        <w:ind w:left="3283" w:hanging="360"/>
      </w:pPr>
    </w:lvl>
    <w:lvl w:ilvl="2" w:tplc="0416001B" w:tentative="1">
      <w:start w:val="1"/>
      <w:numFmt w:val="lowerRoman"/>
      <w:lvlText w:val="%3."/>
      <w:lvlJc w:val="right"/>
      <w:pPr>
        <w:ind w:left="4003" w:hanging="180"/>
      </w:pPr>
    </w:lvl>
    <w:lvl w:ilvl="3" w:tplc="0416000F" w:tentative="1">
      <w:start w:val="1"/>
      <w:numFmt w:val="decimal"/>
      <w:lvlText w:val="%4."/>
      <w:lvlJc w:val="left"/>
      <w:pPr>
        <w:ind w:left="4723" w:hanging="360"/>
      </w:pPr>
    </w:lvl>
    <w:lvl w:ilvl="4" w:tplc="04160019" w:tentative="1">
      <w:start w:val="1"/>
      <w:numFmt w:val="lowerLetter"/>
      <w:lvlText w:val="%5."/>
      <w:lvlJc w:val="left"/>
      <w:pPr>
        <w:ind w:left="5443" w:hanging="360"/>
      </w:pPr>
    </w:lvl>
    <w:lvl w:ilvl="5" w:tplc="0416001B" w:tentative="1">
      <w:start w:val="1"/>
      <w:numFmt w:val="lowerRoman"/>
      <w:lvlText w:val="%6."/>
      <w:lvlJc w:val="right"/>
      <w:pPr>
        <w:ind w:left="6163" w:hanging="180"/>
      </w:pPr>
    </w:lvl>
    <w:lvl w:ilvl="6" w:tplc="0416000F" w:tentative="1">
      <w:start w:val="1"/>
      <w:numFmt w:val="decimal"/>
      <w:lvlText w:val="%7."/>
      <w:lvlJc w:val="left"/>
      <w:pPr>
        <w:ind w:left="6883" w:hanging="360"/>
      </w:pPr>
    </w:lvl>
    <w:lvl w:ilvl="7" w:tplc="04160019" w:tentative="1">
      <w:start w:val="1"/>
      <w:numFmt w:val="lowerLetter"/>
      <w:lvlText w:val="%8."/>
      <w:lvlJc w:val="left"/>
      <w:pPr>
        <w:ind w:left="7603" w:hanging="360"/>
      </w:pPr>
    </w:lvl>
    <w:lvl w:ilvl="8" w:tplc="0416001B" w:tentative="1">
      <w:start w:val="1"/>
      <w:numFmt w:val="lowerRoman"/>
      <w:lvlText w:val="%9."/>
      <w:lvlJc w:val="right"/>
      <w:pPr>
        <w:ind w:left="8323" w:hanging="180"/>
      </w:pPr>
    </w:lvl>
  </w:abstractNum>
  <w:num w:numId="1">
    <w:abstractNumId w:val="17"/>
  </w:num>
  <w:num w:numId="2">
    <w:abstractNumId w:val="11"/>
  </w:num>
  <w:num w:numId="3">
    <w:abstractNumId w:val="6"/>
  </w:num>
  <w:num w:numId="4">
    <w:abstractNumId w:val="5"/>
  </w:num>
  <w:num w:numId="5">
    <w:abstractNumId w:val="8"/>
  </w:num>
  <w:num w:numId="6">
    <w:abstractNumId w:val="3"/>
  </w:num>
  <w:num w:numId="7">
    <w:abstractNumId w:val="13"/>
  </w:num>
  <w:num w:numId="8">
    <w:abstractNumId w:val="18"/>
  </w:num>
  <w:num w:numId="9">
    <w:abstractNumId w:val="19"/>
  </w:num>
  <w:num w:numId="10">
    <w:abstractNumId w:val="15"/>
  </w:num>
  <w:num w:numId="11">
    <w:abstractNumId w:val="16"/>
  </w:num>
  <w:num w:numId="12">
    <w:abstractNumId w:val="14"/>
  </w:num>
  <w:num w:numId="13">
    <w:abstractNumId w:val="10"/>
  </w:num>
  <w:num w:numId="14">
    <w:abstractNumId w:val="0"/>
  </w:num>
  <w:num w:numId="15">
    <w:abstractNumId w:val="9"/>
  </w:num>
  <w:num w:numId="16">
    <w:abstractNumId w:val="1"/>
  </w:num>
  <w:num w:numId="17">
    <w:abstractNumId w:val="2"/>
  </w:num>
  <w:num w:numId="18">
    <w:abstractNumId w:val="4"/>
  </w:num>
  <w:num w:numId="19">
    <w:abstractNumId w:val="12"/>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2587E"/>
    <w:rsid w:val="0000021F"/>
    <w:rsid w:val="001C4376"/>
    <w:rsid w:val="00433CA4"/>
    <w:rsid w:val="00504EE3"/>
    <w:rsid w:val="00585915"/>
    <w:rsid w:val="00630D78"/>
    <w:rsid w:val="006630EC"/>
    <w:rsid w:val="006813BB"/>
    <w:rsid w:val="006965B3"/>
    <w:rsid w:val="006F333D"/>
    <w:rsid w:val="0076160F"/>
    <w:rsid w:val="009920DB"/>
    <w:rsid w:val="00A34D75"/>
    <w:rsid w:val="00A454E8"/>
    <w:rsid w:val="00B2587E"/>
    <w:rsid w:val="00B911AA"/>
    <w:rsid w:val="00C01B98"/>
    <w:rsid w:val="00DA01BB"/>
    <w:rsid w:val="00E741CC"/>
    <w:rsid w:val="00FB45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C64392-C959-494A-88F4-4963BA6E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Ttulo2"/>
    <w:link w:val="Ttulo1Char"/>
    <w:qFormat/>
    <w:rsid w:val="00630D78"/>
    <w:pPr>
      <w:keepNext/>
      <w:spacing w:after="1072" w:line="360" w:lineRule="exact"/>
      <w:outlineLvl w:val="0"/>
    </w:pPr>
    <w:rPr>
      <w:rFonts w:ascii="Arial" w:hAnsi="Arial"/>
      <w:b/>
      <w:caps/>
      <w:kern w:val="28"/>
      <w:sz w:val="28"/>
      <w:szCs w:val="20"/>
    </w:rPr>
  </w:style>
  <w:style w:type="paragraph" w:styleId="Ttulo2">
    <w:name w:val="heading 2"/>
    <w:basedOn w:val="Normal"/>
    <w:next w:val="Normal"/>
    <w:link w:val="Ttulo2Char"/>
    <w:qFormat/>
    <w:rsid w:val="00630D78"/>
    <w:pPr>
      <w:keepNext/>
      <w:widowControl w:val="0"/>
      <w:spacing w:after="1072" w:line="360" w:lineRule="exact"/>
      <w:jc w:val="center"/>
      <w:outlineLvl w:val="1"/>
    </w:pPr>
    <w:rPr>
      <w:rFonts w:ascii="Arial" w:hAnsi="Arial"/>
      <w:b/>
      <w:snapToGrid w:val="0"/>
      <w:color w:val="000000"/>
      <w:sz w:val="28"/>
      <w:szCs w:val="20"/>
    </w:rPr>
  </w:style>
  <w:style w:type="paragraph" w:styleId="Ttulo3">
    <w:name w:val="heading 3"/>
    <w:basedOn w:val="Normal"/>
    <w:next w:val="Normal"/>
    <w:link w:val="Ttulo3Char"/>
    <w:qFormat/>
    <w:rsid w:val="00630D78"/>
    <w:pPr>
      <w:keepNext/>
      <w:spacing w:before="1072" w:after="714" w:line="360" w:lineRule="exact"/>
      <w:outlineLvl w:val="2"/>
    </w:pPr>
    <w:rPr>
      <w:rFonts w:ascii="Arial" w:hAnsi="Arial"/>
      <w:b/>
      <w:snapToGrid w:val="0"/>
      <w:sz w:val="28"/>
      <w:szCs w:val="20"/>
    </w:rPr>
  </w:style>
  <w:style w:type="paragraph" w:styleId="Ttulo4">
    <w:name w:val="heading 4"/>
    <w:basedOn w:val="Normal"/>
    <w:next w:val="Normal"/>
    <w:link w:val="Ttulo4Char"/>
    <w:qFormat/>
    <w:rsid w:val="00630D78"/>
    <w:pPr>
      <w:keepNext/>
      <w:jc w:val="center"/>
      <w:outlineLvl w:val="3"/>
    </w:pPr>
    <w:rPr>
      <w:rFonts w:ascii="Arial" w:hAnsi="Arial"/>
      <w:szCs w:val="20"/>
    </w:rPr>
  </w:style>
  <w:style w:type="paragraph" w:styleId="Ttulo6">
    <w:name w:val="heading 6"/>
    <w:basedOn w:val="Normal"/>
    <w:next w:val="Normal"/>
    <w:link w:val="Ttulo6Char"/>
    <w:qFormat/>
    <w:rsid w:val="00630D78"/>
    <w:pPr>
      <w:keepNext/>
      <w:ind w:firstLine="2302"/>
      <w:jc w:val="center"/>
      <w:outlineLvl w:val="5"/>
    </w:pPr>
    <w:rPr>
      <w:rFonts w:ascii="Arial" w:hAnsi="Arial"/>
      <w:snapToGrid w:val="0"/>
      <w:szCs w:val="20"/>
    </w:rPr>
  </w:style>
  <w:style w:type="paragraph" w:styleId="Ttulo7">
    <w:name w:val="heading 7"/>
    <w:basedOn w:val="Normal"/>
    <w:next w:val="Normal"/>
    <w:link w:val="Ttulo7Char"/>
    <w:qFormat/>
    <w:rsid w:val="00630D78"/>
    <w:pPr>
      <w:keepNext/>
      <w:widowControl w:val="0"/>
      <w:numPr>
        <w:numId w:val="2"/>
      </w:numPr>
      <w:spacing w:after="240"/>
      <w:ind w:left="714" w:hanging="357"/>
      <w:jc w:val="center"/>
      <w:outlineLvl w:val="6"/>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nhideWhenUsed/>
    <w:rsid w:val="006F333D"/>
    <w:pPr>
      <w:tabs>
        <w:tab w:val="center" w:pos="4252"/>
        <w:tab w:val="right" w:pos="8504"/>
      </w:tabs>
    </w:pPr>
  </w:style>
  <w:style w:type="character" w:customStyle="1" w:styleId="CabealhoChar">
    <w:name w:val="Cabeçalho Char"/>
    <w:basedOn w:val="Fontepargpadro"/>
    <w:link w:val="Cabealho"/>
    <w:rsid w:val="006F333D"/>
    <w:rPr>
      <w:rFonts w:ascii="Times New Roman" w:eastAsia="Times New Roman" w:hAnsi="Times New Roman" w:cs="Times New Roman"/>
      <w:sz w:val="24"/>
      <w:szCs w:val="24"/>
      <w:lang w:eastAsia="pt-BR"/>
    </w:rPr>
  </w:style>
  <w:style w:type="paragraph" w:styleId="Rodap">
    <w:name w:val="footer"/>
    <w:basedOn w:val="Normal"/>
    <w:link w:val="RodapChar"/>
    <w:unhideWhenUsed/>
    <w:rsid w:val="006F333D"/>
    <w:pPr>
      <w:tabs>
        <w:tab w:val="center" w:pos="4252"/>
        <w:tab w:val="right" w:pos="8504"/>
      </w:tabs>
    </w:pPr>
  </w:style>
  <w:style w:type="character" w:customStyle="1" w:styleId="RodapChar">
    <w:name w:val="Rodapé Char"/>
    <w:basedOn w:val="Fontepargpadro"/>
    <w:link w:val="Rodap"/>
    <w:rsid w:val="006F333D"/>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630D78"/>
    <w:rPr>
      <w:rFonts w:ascii="Arial" w:eastAsia="Times New Roman" w:hAnsi="Arial" w:cs="Times New Roman"/>
      <w:b/>
      <w:caps/>
      <w:kern w:val="28"/>
      <w:sz w:val="28"/>
      <w:szCs w:val="20"/>
      <w:lang w:eastAsia="pt-BR"/>
    </w:rPr>
  </w:style>
  <w:style w:type="character" w:customStyle="1" w:styleId="Ttulo2Char">
    <w:name w:val="Título 2 Char"/>
    <w:basedOn w:val="Fontepargpadro"/>
    <w:link w:val="Ttulo2"/>
    <w:rsid w:val="00630D78"/>
    <w:rPr>
      <w:rFonts w:ascii="Arial" w:eastAsia="Times New Roman" w:hAnsi="Arial" w:cs="Times New Roman"/>
      <w:b/>
      <w:snapToGrid w:val="0"/>
      <w:color w:val="000000"/>
      <w:sz w:val="28"/>
      <w:szCs w:val="20"/>
      <w:lang w:eastAsia="pt-BR"/>
    </w:rPr>
  </w:style>
  <w:style w:type="character" w:customStyle="1" w:styleId="Ttulo3Char">
    <w:name w:val="Título 3 Char"/>
    <w:basedOn w:val="Fontepargpadro"/>
    <w:link w:val="Ttulo3"/>
    <w:rsid w:val="00630D78"/>
    <w:rPr>
      <w:rFonts w:ascii="Arial" w:eastAsia="Times New Roman" w:hAnsi="Arial" w:cs="Times New Roman"/>
      <w:b/>
      <w:snapToGrid w:val="0"/>
      <w:sz w:val="28"/>
      <w:szCs w:val="20"/>
      <w:lang w:eastAsia="pt-BR"/>
    </w:rPr>
  </w:style>
  <w:style w:type="character" w:customStyle="1" w:styleId="Ttulo4Char">
    <w:name w:val="Título 4 Char"/>
    <w:basedOn w:val="Fontepargpadro"/>
    <w:link w:val="Ttulo4"/>
    <w:rsid w:val="00630D78"/>
    <w:rPr>
      <w:rFonts w:ascii="Arial" w:eastAsia="Times New Roman" w:hAnsi="Arial" w:cs="Times New Roman"/>
      <w:sz w:val="24"/>
      <w:szCs w:val="20"/>
      <w:lang w:eastAsia="pt-BR"/>
    </w:rPr>
  </w:style>
  <w:style w:type="character" w:customStyle="1" w:styleId="Ttulo6Char">
    <w:name w:val="Título 6 Char"/>
    <w:basedOn w:val="Fontepargpadro"/>
    <w:link w:val="Ttulo6"/>
    <w:rsid w:val="00630D78"/>
    <w:rPr>
      <w:rFonts w:ascii="Arial" w:eastAsia="Times New Roman" w:hAnsi="Arial" w:cs="Times New Roman"/>
      <w:snapToGrid w:val="0"/>
      <w:sz w:val="24"/>
      <w:szCs w:val="20"/>
      <w:lang w:eastAsia="pt-BR"/>
    </w:rPr>
  </w:style>
  <w:style w:type="character" w:customStyle="1" w:styleId="Ttulo7Char">
    <w:name w:val="Título 7 Char"/>
    <w:basedOn w:val="Fontepargpadro"/>
    <w:link w:val="Ttulo7"/>
    <w:rsid w:val="00630D78"/>
    <w:rPr>
      <w:rFonts w:ascii="Times New Roman" w:eastAsia="Times New Roman" w:hAnsi="Times New Roman" w:cs="Times New Roman"/>
      <w:b/>
      <w:sz w:val="24"/>
      <w:szCs w:val="20"/>
      <w:lang w:eastAsia="pt-BR"/>
    </w:rPr>
  </w:style>
  <w:style w:type="character" w:styleId="Nmerodepgina">
    <w:name w:val="page number"/>
    <w:basedOn w:val="Fontepargpadro"/>
    <w:rsid w:val="00630D78"/>
  </w:style>
  <w:style w:type="paragraph" w:customStyle="1" w:styleId="texto1">
    <w:name w:val="texto1"/>
    <w:basedOn w:val="Normal"/>
    <w:rsid w:val="00630D78"/>
    <w:pPr>
      <w:suppressAutoHyphens/>
      <w:spacing w:line="360" w:lineRule="auto"/>
      <w:ind w:firstLine="1418"/>
      <w:jc w:val="both"/>
    </w:pPr>
    <w:rPr>
      <w:rFonts w:ascii="Courier New" w:hAnsi="Courier New"/>
      <w:b/>
      <w:snapToGrid w:val="0"/>
      <w:szCs w:val="20"/>
    </w:rPr>
  </w:style>
  <w:style w:type="paragraph" w:styleId="Recuodecorpodetexto">
    <w:name w:val="Body Text Indent"/>
    <w:basedOn w:val="Normal"/>
    <w:link w:val="RecuodecorpodetextoChar"/>
    <w:rsid w:val="00630D78"/>
    <w:pPr>
      <w:spacing w:after="120"/>
      <w:ind w:left="283"/>
    </w:pPr>
    <w:rPr>
      <w:rFonts w:ascii="Arial" w:hAnsi="Arial"/>
      <w:sz w:val="20"/>
      <w:szCs w:val="20"/>
    </w:rPr>
  </w:style>
  <w:style w:type="character" w:customStyle="1" w:styleId="RecuodecorpodetextoChar">
    <w:name w:val="Recuo de corpo de texto Char"/>
    <w:basedOn w:val="Fontepargpadro"/>
    <w:link w:val="Recuodecorpodetexto"/>
    <w:rsid w:val="00630D78"/>
    <w:rPr>
      <w:rFonts w:ascii="Arial" w:eastAsia="Times New Roman" w:hAnsi="Arial" w:cs="Times New Roman"/>
      <w:sz w:val="20"/>
      <w:szCs w:val="20"/>
      <w:lang w:eastAsia="pt-BR"/>
    </w:rPr>
  </w:style>
  <w:style w:type="paragraph" w:customStyle="1" w:styleId="TranscrioDoutrina">
    <w:name w:val="Transcrição Doutrina"/>
    <w:basedOn w:val="Normal"/>
    <w:rsid w:val="00630D78"/>
    <w:pPr>
      <w:keepLines/>
      <w:spacing w:after="100" w:line="280" w:lineRule="exact"/>
      <w:ind w:left="2302" w:firstLine="567"/>
      <w:jc w:val="both"/>
    </w:pPr>
    <w:rPr>
      <w:rFonts w:ascii="Arial" w:hAnsi="Arial"/>
      <w:i/>
      <w:snapToGrid w:val="0"/>
      <w:color w:val="000000"/>
      <w:szCs w:val="20"/>
    </w:rPr>
  </w:style>
  <w:style w:type="paragraph" w:customStyle="1" w:styleId="Artigo">
    <w:name w:val="Artigo"/>
    <w:basedOn w:val="Normal"/>
    <w:rsid w:val="00630D78"/>
    <w:pPr>
      <w:widowControl w:val="0"/>
      <w:numPr>
        <w:numId w:val="1"/>
      </w:numPr>
      <w:tabs>
        <w:tab w:val="clear" w:pos="1440"/>
      </w:tabs>
      <w:spacing w:line="360" w:lineRule="exact"/>
      <w:ind w:firstLine="1908"/>
      <w:jc w:val="both"/>
    </w:pPr>
    <w:rPr>
      <w:rFonts w:ascii="Arial" w:hAnsi="Arial"/>
      <w:snapToGrid w:val="0"/>
      <w:color w:val="000000"/>
      <w:szCs w:val="20"/>
    </w:rPr>
  </w:style>
  <w:style w:type="paragraph" w:customStyle="1" w:styleId="Corpo">
    <w:name w:val="Corpo"/>
    <w:basedOn w:val="Normal"/>
    <w:next w:val="Artigo"/>
    <w:rsid w:val="00630D78"/>
    <w:pPr>
      <w:widowControl w:val="0"/>
      <w:spacing w:after="714" w:line="360" w:lineRule="exact"/>
      <w:ind w:firstLine="2302"/>
      <w:jc w:val="both"/>
    </w:pPr>
    <w:rPr>
      <w:rFonts w:ascii="Arial" w:hAnsi="Arial"/>
      <w:snapToGrid w:val="0"/>
      <w:color w:val="000000"/>
      <w:szCs w:val="20"/>
    </w:rPr>
  </w:style>
  <w:style w:type="paragraph" w:customStyle="1" w:styleId="CorpoPadro">
    <w:name w:val="Corpo Padrão"/>
    <w:basedOn w:val="Normal"/>
    <w:rsid w:val="00630D78"/>
    <w:pPr>
      <w:spacing w:after="200" w:line="360" w:lineRule="exact"/>
      <w:ind w:firstLine="2302"/>
      <w:jc w:val="both"/>
    </w:pPr>
    <w:rPr>
      <w:rFonts w:ascii="Arial" w:hAnsi="Arial"/>
      <w:snapToGrid w:val="0"/>
      <w:color w:val="000000"/>
      <w:szCs w:val="20"/>
    </w:rPr>
  </w:style>
  <w:style w:type="paragraph" w:customStyle="1" w:styleId="data">
    <w:name w:val="data"/>
    <w:basedOn w:val="Normal"/>
    <w:rsid w:val="00630D78"/>
    <w:pPr>
      <w:keepNext/>
      <w:widowControl w:val="0"/>
      <w:spacing w:before="514" w:after="1072" w:line="360" w:lineRule="exact"/>
      <w:ind w:firstLine="2302"/>
      <w:jc w:val="both"/>
    </w:pPr>
    <w:rPr>
      <w:rFonts w:ascii="Arial" w:hAnsi="Arial"/>
      <w:snapToGrid w:val="0"/>
      <w:color w:val="000000"/>
      <w:szCs w:val="20"/>
    </w:rPr>
  </w:style>
  <w:style w:type="paragraph" w:customStyle="1" w:styleId="Ementa">
    <w:name w:val="Ementa"/>
    <w:basedOn w:val="Normal"/>
    <w:rsid w:val="00630D78"/>
    <w:pPr>
      <w:widowControl w:val="0"/>
      <w:spacing w:before="1072" w:after="357" w:line="240" w:lineRule="exact"/>
      <w:ind w:left="3742" w:firstLine="720"/>
      <w:jc w:val="both"/>
    </w:pPr>
    <w:rPr>
      <w:rFonts w:ascii="Arial" w:hAnsi="Arial"/>
      <w:snapToGrid w:val="0"/>
      <w:color w:val="000000"/>
      <w:szCs w:val="20"/>
    </w:rPr>
  </w:style>
  <w:style w:type="paragraph" w:customStyle="1" w:styleId="titulo4">
    <w:name w:val="titulo4"/>
    <w:basedOn w:val="Ttulo2"/>
    <w:autoRedefine/>
    <w:rsid w:val="00630D78"/>
    <w:pPr>
      <w:widowControl/>
      <w:spacing w:before="720" w:after="480"/>
      <w:jc w:val="left"/>
    </w:pPr>
    <w:rPr>
      <w:caps/>
    </w:rPr>
  </w:style>
  <w:style w:type="paragraph" w:customStyle="1" w:styleId="Pargrafo">
    <w:name w:val="Parágrafo"/>
    <w:basedOn w:val="Normal"/>
    <w:rsid w:val="00630D78"/>
    <w:pPr>
      <w:keepLines/>
      <w:spacing w:after="120" w:line="264" w:lineRule="auto"/>
      <w:ind w:firstLine="1985"/>
      <w:jc w:val="both"/>
    </w:pPr>
    <w:rPr>
      <w:rFonts w:ascii="Arial" w:hAnsi="Arial"/>
      <w:szCs w:val="20"/>
    </w:rPr>
  </w:style>
  <w:style w:type="paragraph" w:customStyle="1" w:styleId="Formatado">
    <w:name w:val="Formatado"/>
    <w:basedOn w:val="Normal"/>
    <w:rsid w:val="00630D78"/>
    <w:pPr>
      <w:keepLines/>
      <w:spacing w:after="60"/>
      <w:jc w:val="both"/>
    </w:pPr>
    <w:rPr>
      <w:rFonts w:ascii="Arial" w:hAnsi="Arial"/>
      <w:szCs w:val="20"/>
    </w:rPr>
  </w:style>
  <w:style w:type="paragraph" w:customStyle="1" w:styleId="TranscrioLei">
    <w:name w:val="Transcrição Lei"/>
    <w:basedOn w:val="Normal"/>
    <w:rsid w:val="00630D78"/>
    <w:pPr>
      <w:keepLines/>
      <w:spacing w:after="100" w:line="280" w:lineRule="exact"/>
      <w:ind w:left="2302"/>
      <w:jc w:val="both"/>
    </w:pPr>
    <w:rPr>
      <w:rFonts w:ascii="Arial" w:hAnsi="Arial"/>
      <w:noProof/>
      <w:snapToGrid w:val="0"/>
      <w:color w:val="000000"/>
      <w:szCs w:val="20"/>
    </w:rPr>
  </w:style>
  <w:style w:type="character" w:customStyle="1" w:styleId="Hiperlink">
    <w:name w:val="Hiperlink"/>
    <w:rsid w:val="00630D78"/>
    <w:rPr>
      <w:color w:val="0000FF"/>
      <w:u w:val="single"/>
    </w:rPr>
  </w:style>
  <w:style w:type="paragraph" w:styleId="Recuodecorpodetexto2">
    <w:name w:val="Body Text Indent 2"/>
    <w:basedOn w:val="Normal"/>
    <w:link w:val="Recuodecorpodetexto2Char"/>
    <w:rsid w:val="00630D78"/>
    <w:pPr>
      <w:spacing w:after="120" w:line="360" w:lineRule="exact"/>
      <w:ind w:firstLine="2325"/>
      <w:jc w:val="both"/>
    </w:pPr>
    <w:rPr>
      <w:rFonts w:ascii="Arial" w:hAnsi="Arial"/>
      <w:szCs w:val="20"/>
    </w:rPr>
  </w:style>
  <w:style w:type="character" w:customStyle="1" w:styleId="Recuodecorpodetexto2Char">
    <w:name w:val="Recuo de corpo de texto 2 Char"/>
    <w:basedOn w:val="Fontepargpadro"/>
    <w:link w:val="Recuodecorpodetexto2"/>
    <w:rsid w:val="00630D78"/>
    <w:rPr>
      <w:rFonts w:ascii="Arial" w:eastAsia="Times New Roman" w:hAnsi="Arial" w:cs="Times New Roman"/>
      <w:sz w:val="24"/>
      <w:szCs w:val="20"/>
      <w:lang w:eastAsia="pt-BR"/>
    </w:rPr>
  </w:style>
  <w:style w:type="paragraph" w:customStyle="1" w:styleId="Texto">
    <w:name w:val="Texto"/>
    <w:basedOn w:val="Normal"/>
    <w:rsid w:val="00630D78"/>
    <w:pPr>
      <w:keepLines/>
      <w:spacing w:after="120"/>
      <w:ind w:firstLine="1418"/>
      <w:jc w:val="both"/>
    </w:pPr>
    <w:rPr>
      <w:rFonts w:ascii="Arial" w:hAnsi="Arial"/>
      <w:szCs w:val="20"/>
    </w:rPr>
  </w:style>
  <w:style w:type="paragraph" w:customStyle="1" w:styleId="Blockquote">
    <w:name w:val="Blockquote"/>
    <w:basedOn w:val="Normal"/>
    <w:rsid w:val="00630D78"/>
    <w:pPr>
      <w:spacing w:before="100" w:after="100"/>
      <w:ind w:left="360" w:right="360"/>
    </w:pPr>
    <w:rPr>
      <w:snapToGrid w:val="0"/>
      <w:szCs w:val="20"/>
    </w:rPr>
  </w:style>
  <w:style w:type="paragraph" w:styleId="NormalWeb">
    <w:name w:val="Normal (Web)"/>
    <w:basedOn w:val="Normal"/>
    <w:uiPriority w:val="99"/>
    <w:rsid w:val="00630D78"/>
    <w:pPr>
      <w:spacing w:before="100" w:after="100"/>
    </w:pPr>
    <w:rPr>
      <w:szCs w:val="20"/>
    </w:rPr>
  </w:style>
  <w:style w:type="paragraph" w:styleId="Corpodetexto">
    <w:name w:val="Body Text"/>
    <w:basedOn w:val="Normal"/>
    <w:link w:val="CorpodetextoChar"/>
    <w:rsid w:val="00630D78"/>
    <w:pPr>
      <w:widowControl w:val="0"/>
    </w:pPr>
    <w:rPr>
      <w:rFonts w:ascii="CG Times" w:hAnsi="CG Times"/>
      <w:snapToGrid w:val="0"/>
      <w:color w:val="000000"/>
      <w:szCs w:val="20"/>
    </w:rPr>
  </w:style>
  <w:style w:type="character" w:customStyle="1" w:styleId="CorpodetextoChar">
    <w:name w:val="Corpo de texto Char"/>
    <w:basedOn w:val="Fontepargpadro"/>
    <w:link w:val="Corpodetexto"/>
    <w:rsid w:val="00630D78"/>
    <w:rPr>
      <w:rFonts w:ascii="CG Times" w:eastAsia="Times New Roman" w:hAnsi="CG Times" w:cs="Times New Roman"/>
      <w:snapToGrid w:val="0"/>
      <w:color w:val="000000"/>
      <w:sz w:val="24"/>
      <w:szCs w:val="20"/>
      <w:lang w:eastAsia="pt-BR"/>
    </w:rPr>
  </w:style>
  <w:style w:type="character" w:styleId="Forte">
    <w:name w:val="Strong"/>
    <w:qFormat/>
    <w:rsid w:val="00630D78"/>
    <w:rPr>
      <w:b/>
    </w:rPr>
  </w:style>
  <w:style w:type="paragraph" w:styleId="Corpodetexto2">
    <w:name w:val="Body Text 2"/>
    <w:basedOn w:val="Normal"/>
    <w:link w:val="Corpodetexto2Char"/>
    <w:rsid w:val="00630D78"/>
    <w:pPr>
      <w:jc w:val="both"/>
    </w:pPr>
    <w:rPr>
      <w:rFonts w:ascii="Arial" w:hAnsi="Arial"/>
      <w:sz w:val="20"/>
      <w:szCs w:val="20"/>
    </w:rPr>
  </w:style>
  <w:style w:type="character" w:customStyle="1" w:styleId="Corpodetexto2Char">
    <w:name w:val="Corpo de texto 2 Char"/>
    <w:basedOn w:val="Fontepargpadro"/>
    <w:link w:val="Corpodetexto2"/>
    <w:rsid w:val="00630D78"/>
    <w:rPr>
      <w:rFonts w:ascii="Arial" w:eastAsia="Times New Roman" w:hAnsi="Arial" w:cs="Times New Roman"/>
      <w:sz w:val="20"/>
      <w:szCs w:val="20"/>
      <w:lang w:eastAsia="pt-BR"/>
    </w:rPr>
  </w:style>
  <w:style w:type="paragraph" w:customStyle="1" w:styleId="DATA0">
    <w:name w:val="DATA"/>
    <w:basedOn w:val="Normal"/>
    <w:rsid w:val="00630D78"/>
    <w:pPr>
      <w:keepNext/>
      <w:widowControl w:val="0"/>
      <w:spacing w:before="554" w:after="1072" w:line="360" w:lineRule="exact"/>
      <w:ind w:firstLine="2302"/>
      <w:jc w:val="both"/>
    </w:pPr>
    <w:rPr>
      <w:rFonts w:ascii="Arial" w:hAnsi="Arial"/>
      <w:snapToGrid w:val="0"/>
      <w:color w:val="000000"/>
      <w:szCs w:val="20"/>
    </w:rPr>
  </w:style>
  <w:style w:type="paragraph" w:customStyle="1" w:styleId="item">
    <w:name w:val="item"/>
    <w:basedOn w:val="Ttulo2"/>
    <w:rsid w:val="00630D78"/>
    <w:pPr>
      <w:pBdr>
        <w:bottom w:val="single" w:sz="4" w:space="1" w:color="auto"/>
      </w:pBdr>
      <w:spacing w:before="240" w:after="240"/>
      <w:jc w:val="left"/>
    </w:pPr>
    <w:rPr>
      <w:rFonts w:ascii="Garamond" w:hAnsi="Garamond"/>
      <w:caps/>
      <w:sz w:val="24"/>
    </w:rPr>
  </w:style>
  <w:style w:type="paragraph" w:styleId="Ttulo">
    <w:name w:val="Title"/>
    <w:basedOn w:val="Normal"/>
    <w:link w:val="TtuloChar"/>
    <w:qFormat/>
    <w:rsid w:val="00630D78"/>
    <w:pPr>
      <w:autoSpaceDE w:val="0"/>
      <w:autoSpaceDN w:val="0"/>
      <w:adjustRightInd w:val="0"/>
      <w:jc w:val="center"/>
    </w:pPr>
    <w:rPr>
      <w:rFonts w:ascii="Arial" w:hAnsi="Arial" w:cs="Arial"/>
      <w:b/>
      <w:bCs/>
      <w:sz w:val="23"/>
      <w:szCs w:val="23"/>
    </w:rPr>
  </w:style>
  <w:style w:type="character" w:customStyle="1" w:styleId="TtuloChar">
    <w:name w:val="Título Char"/>
    <w:basedOn w:val="Fontepargpadro"/>
    <w:link w:val="Ttulo"/>
    <w:rsid w:val="00630D78"/>
    <w:rPr>
      <w:rFonts w:ascii="Arial" w:eastAsia="Times New Roman" w:hAnsi="Arial" w:cs="Arial"/>
      <w:b/>
      <w:bCs/>
      <w:sz w:val="23"/>
      <w:szCs w:val="23"/>
      <w:lang w:eastAsia="pt-BR"/>
    </w:rPr>
  </w:style>
  <w:style w:type="paragraph" w:styleId="Recuodecorpodetexto3">
    <w:name w:val="Body Text Indent 3"/>
    <w:basedOn w:val="Normal"/>
    <w:link w:val="Recuodecorpodetexto3Char"/>
    <w:rsid w:val="00630D78"/>
    <w:pPr>
      <w:autoSpaceDE w:val="0"/>
      <w:autoSpaceDN w:val="0"/>
      <w:adjustRightInd w:val="0"/>
      <w:ind w:left="1440"/>
      <w:jc w:val="both"/>
    </w:pPr>
    <w:rPr>
      <w:rFonts w:ascii="Arial" w:hAnsi="Arial"/>
      <w:szCs w:val="20"/>
    </w:rPr>
  </w:style>
  <w:style w:type="character" w:customStyle="1" w:styleId="Recuodecorpodetexto3Char">
    <w:name w:val="Recuo de corpo de texto 3 Char"/>
    <w:basedOn w:val="Fontepargpadro"/>
    <w:link w:val="Recuodecorpodetexto3"/>
    <w:rsid w:val="00630D78"/>
    <w:rPr>
      <w:rFonts w:ascii="Arial" w:eastAsia="Times New Roman" w:hAnsi="Arial" w:cs="Times New Roman"/>
      <w:sz w:val="24"/>
      <w:szCs w:val="20"/>
      <w:lang w:eastAsia="pt-BR"/>
    </w:rPr>
  </w:style>
  <w:style w:type="character" w:customStyle="1" w:styleId="apple-converted-space">
    <w:name w:val="apple-converted-space"/>
    <w:rsid w:val="00630D78"/>
  </w:style>
  <w:style w:type="paragraph" w:styleId="PargrafodaLista">
    <w:name w:val="List Paragraph"/>
    <w:basedOn w:val="Normal"/>
    <w:uiPriority w:val="34"/>
    <w:qFormat/>
    <w:rsid w:val="00630D78"/>
    <w:pPr>
      <w:ind w:left="708"/>
    </w:pPr>
    <w:rPr>
      <w:rFonts w:ascii="Arial" w:hAnsi="Arial"/>
      <w:sz w:val="20"/>
      <w:szCs w:val="20"/>
    </w:rPr>
  </w:style>
  <w:style w:type="paragraph" w:styleId="Textodebalo">
    <w:name w:val="Balloon Text"/>
    <w:basedOn w:val="Normal"/>
    <w:link w:val="TextodebaloChar"/>
    <w:semiHidden/>
    <w:unhideWhenUsed/>
    <w:rsid w:val="00630D78"/>
    <w:rPr>
      <w:rFonts w:ascii="Tahoma" w:hAnsi="Tahoma" w:cs="Tahoma"/>
      <w:sz w:val="16"/>
      <w:szCs w:val="16"/>
    </w:rPr>
  </w:style>
  <w:style w:type="character" w:customStyle="1" w:styleId="TextodebaloChar">
    <w:name w:val="Texto de balão Char"/>
    <w:basedOn w:val="Fontepargpadro"/>
    <w:link w:val="Textodebalo"/>
    <w:semiHidden/>
    <w:rsid w:val="00630D78"/>
    <w:rPr>
      <w:rFonts w:ascii="Tahoma" w:eastAsia="Times New Roman" w:hAnsi="Tahoma" w:cs="Tahoma"/>
      <w:sz w:val="16"/>
      <w:szCs w:val="16"/>
      <w:lang w:eastAsia="pt-BR"/>
    </w:rPr>
  </w:style>
  <w:style w:type="paragraph" w:customStyle="1" w:styleId="Ttulo2Subttulo1">
    <w:name w:val="Título 2.Subtítulo1"/>
    <w:basedOn w:val="Normal"/>
    <w:next w:val="Normal"/>
    <w:rsid w:val="00630D78"/>
    <w:pPr>
      <w:keepNext/>
      <w:widowControl w:val="0"/>
      <w:spacing w:after="1072" w:line="360" w:lineRule="exact"/>
      <w:ind w:firstLine="1134"/>
      <w:jc w:val="center"/>
      <w:outlineLvl w:val="1"/>
    </w:pPr>
    <w:rPr>
      <w:rFonts w:ascii="Arial" w:hAnsi="Arial"/>
      <w:b/>
      <w:snapToGrid w:val="0"/>
      <w:color w:val="000000"/>
      <w:sz w:val="28"/>
      <w:szCs w:val="20"/>
    </w:rPr>
  </w:style>
  <w:style w:type="paragraph" w:customStyle="1" w:styleId="CORPOPADRO0">
    <w:name w:val="CORPO PADRÃO"/>
    <w:basedOn w:val="Normal"/>
    <w:link w:val="CORPOPADROChar"/>
    <w:qFormat/>
    <w:rsid w:val="00630D78"/>
    <w:pPr>
      <w:spacing w:after="200" w:line="360" w:lineRule="exact"/>
      <w:ind w:firstLine="2302"/>
      <w:jc w:val="both"/>
    </w:pPr>
    <w:rPr>
      <w:rFonts w:ascii="Arial" w:hAnsi="Arial"/>
      <w:snapToGrid w:val="0"/>
      <w:color w:val="000000"/>
      <w:szCs w:val="20"/>
    </w:rPr>
  </w:style>
  <w:style w:type="paragraph" w:customStyle="1" w:styleId="corpopadro1">
    <w:name w:val="corpo padrão"/>
    <w:basedOn w:val="Recuodecorpodetexto"/>
    <w:rsid w:val="00630D78"/>
    <w:pPr>
      <w:widowControl w:val="0"/>
      <w:spacing w:line="360" w:lineRule="exact"/>
      <w:ind w:left="0" w:firstLine="2268"/>
      <w:jc w:val="both"/>
    </w:pPr>
    <w:rPr>
      <w:rFonts w:ascii="Garamond" w:hAnsi="Garamond"/>
      <w:snapToGrid w:val="0"/>
      <w:color w:val="000000"/>
      <w:sz w:val="24"/>
    </w:rPr>
  </w:style>
  <w:style w:type="character" w:styleId="Refdenotaderodap">
    <w:name w:val="footnote reference"/>
    <w:semiHidden/>
    <w:rsid w:val="00630D78"/>
    <w:rPr>
      <w:vertAlign w:val="superscript"/>
    </w:rPr>
  </w:style>
  <w:style w:type="paragraph" w:styleId="Textodenotaderodap">
    <w:name w:val="footnote text"/>
    <w:basedOn w:val="Normal"/>
    <w:link w:val="TextodenotaderodapChar"/>
    <w:semiHidden/>
    <w:rsid w:val="00630D78"/>
    <w:pPr>
      <w:jc w:val="both"/>
    </w:pPr>
    <w:rPr>
      <w:rFonts w:ascii="Garamond" w:hAnsi="Garamond"/>
      <w:sz w:val="20"/>
      <w:szCs w:val="20"/>
    </w:rPr>
  </w:style>
  <w:style w:type="character" w:customStyle="1" w:styleId="TextodenotaderodapChar">
    <w:name w:val="Texto de nota de rodapé Char"/>
    <w:basedOn w:val="Fontepargpadro"/>
    <w:link w:val="Textodenotaderodap"/>
    <w:semiHidden/>
    <w:rsid w:val="00630D78"/>
    <w:rPr>
      <w:rFonts w:ascii="Garamond" w:eastAsia="Times New Roman" w:hAnsi="Garamond" w:cs="Times New Roman"/>
      <w:sz w:val="20"/>
      <w:szCs w:val="20"/>
      <w:lang w:eastAsia="pt-BR"/>
    </w:rPr>
  </w:style>
  <w:style w:type="character" w:customStyle="1" w:styleId="textojustificado">
    <w:name w:val="textojustificado"/>
    <w:rsid w:val="00630D78"/>
  </w:style>
  <w:style w:type="character" w:styleId="Hyperlink">
    <w:name w:val="Hyperlink"/>
    <w:uiPriority w:val="99"/>
    <w:unhideWhenUsed/>
    <w:rsid w:val="00630D78"/>
    <w:rPr>
      <w:color w:val="0000FF"/>
      <w:u w:val="single"/>
    </w:rPr>
  </w:style>
  <w:style w:type="character" w:styleId="nfase">
    <w:name w:val="Emphasis"/>
    <w:qFormat/>
    <w:rsid w:val="00630D78"/>
    <w:rPr>
      <w:i/>
      <w:iCs/>
    </w:rPr>
  </w:style>
  <w:style w:type="table" w:styleId="Tabelacomgrade">
    <w:name w:val="Table Grid"/>
    <w:basedOn w:val="Tabelanormal"/>
    <w:uiPriority w:val="39"/>
    <w:rsid w:val="00630D7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D7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clssica1">
    <w:name w:val="Table Classic 1"/>
    <w:basedOn w:val="Tabelanormal"/>
    <w:rsid w:val="00630D78"/>
    <w:pPr>
      <w:spacing w:after="0" w:line="240" w:lineRule="auto"/>
    </w:pPr>
    <w:rPr>
      <w:rFonts w:ascii="Times New Roman" w:eastAsia="Times New Roman" w:hAnsi="Times New Roman" w:cs="Times New Roman"/>
      <w:sz w:val="20"/>
      <w:szCs w:val="20"/>
      <w:lang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exto2">
    <w:name w:val="texto2"/>
    <w:basedOn w:val="Normal"/>
    <w:rsid w:val="00630D78"/>
    <w:pPr>
      <w:spacing w:before="100" w:beforeAutospacing="1" w:after="100" w:afterAutospacing="1"/>
    </w:pPr>
  </w:style>
  <w:style w:type="character" w:customStyle="1" w:styleId="CORPOPADROChar">
    <w:name w:val="CORPO PADRÃO Char"/>
    <w:basedOn w:val="Fontepargpadro"/>
    <w:link w:val="CORPOPADRO0"/>
    <w:rsid w:val="00630D78"/>
    <w:rPr>
      <w:rFonts w:ascii="Arial" w:eastAsia="Times New Roman" w:hAnsi="Arial" w:cs="Times New Roman"/>
      <w:snapToGrid w:val="0"/>
      <w:color w:val="000000"/>
      <w:sz w:val="24"/>
      <w:szCs w:val="20"/>
      <w:lang w:eastAsia="pt-BR"/>
    </w:rPr>
  </w:style>
  <w:style w:type="paragraph" w:customStyle="1" w:styleId="CORPO0">
    <w:name w:val="CORPO"/>
    <w:basedOn w:val="Normal"/>
    <w:next w:val="Artigo"/>
    <w:autoRedefine/>
    <w:rsid w:val="00630D78"/>
    <w:pPr>
      <w:widowControl w:val="0"/>
      <w:jc w:val="both"/>
    </w:pPr>
    <w:rPr>
      <w:rFonts w:ascii="Arial" w:hAnsi="Arial"/>
      <w:snapToGrid w:val="0"/>
      <w:color w:val="000000"/>
      <w:szCs w:val="20"/>
    </w:rPr>
  </w:style>
  <w:style w:type="paragraph" w:customStyle="1" w:styleId="textbody">
    <w:name w:val="textbody"/>
    <w:basedOn w:val="Normal"/>
    <w:rsid w:val="00630D78"/>
    <w:pPr>
      <w:spacing w:before="100" w:beforeAutospacing="1" w:after="100" w:afterAutospacing="1"/>
    </w:pPr>
  </w:style>
  <w:style w:type="paragraph" w:customStyle="1" w:styleId="texto10">
    <w:name w:val="texto 1"/>
    <w:basedOn w:val="Normal"/>
    <w:qFormat/>
    <w:rsid w:val="00630D78"/>
    <w:pPr>
      <w:tabs>
        <w:tab w:val="left" w:leader="dot" w:pos="9072"/>
      </w:tabs>
      <w:suppressAutoHyphens/>
      <w:spacing w:line="360" w:lineRule="auto"/>
      <w:ind w:firstLine="1418"/>
      <w:jc w:val="both"/>
    </w:pPr>
    <w:rPr>
      <w:rFonts w:ascii="Courier New" w:hAnsi="Courier New"/>
      <w:snapToGrid w:val="0"/>
      <w:szCs w:val="20"/>
    </w:rPr>
  </w:style>
  <w:style w:type="paragraph" w:customStyle="1" w:styleId="ementa0">
    <w:name w:val="ementa"/>
    <w:basedOn w:val="Normal"/>
    <w:autoRedefine/>
    <w:qFormat/>
    <w:rsid w:val="00630D78"/>
    <w:pPr>
      <w:suppressAutoHyphens/>
      <w:spacing w:line="192" w:lineRule="auto"/>
      <w:ind w:left="3538"/>
      <w:jc w:val="both"/>
    </w:pPr>
    <w:rPr>
      <w:rFonts w:ascii="Courier New" w:hAnsi="Courier New"/>
      <w:snapToGrid w:val="0"/>
      <w:szCs w:val="20"/>
    </w:rPr>
  </w:style>
  <w:style w:type="paragraph" w:customStyle="1" w:styleId="Estilo1">
    <w:name w:val="Estilo1"/>
    <w:basedOn w:val="Normal"/>
    <w:rsid w:val="00630D78"/>
    <w:pPr>
      <w:spacing w:line="360" w:lineRule="auto"/>
      <w:ind w:left="1418" w:firstLine="1418"/>
      <w:jc w:val="both"/>
    </w:pPr>
    <w:rPr>
      <w:rFonts w:ascii="Courier New" w:hAnsi="Courier New"/>
      <w:b/>
      <w:snapToGrid w:val="0"/>
      <w:szCs w:val="20"/>
    </w:rPr>
  </w:style>
  <w:style w:type="paragraph" w:customStyle="1" w:styleId="texto3">
    <w:name w:val="texto 3"/>
    <w:basedOn w:val="Normal"/>
    <w:qFormat/>
    <w:rsid w:val="00630D78"/>
    <w:pPr>
      <w:tabs>
        <w:tab w:val="left" w:leader="dot" w:pos="8222"/>
      </w:tabs>
      <w:spacing w:line="360" w:lineRule="auto"/>
      <w:ind w:firstLine="1418"/>
      <w:jc w:val="both"/>
    </w:pPr>
    <w:rPr>
      <w:rFonts w:ascii="Courier New" w:hAnsi="Courier New"/>
      <w:snapToGrid w:val="0"/>
      <w:szCs w:val="20"/>
    </w:rPr>
  </w:style>
  <w:style w:type="paragraph" w:customStyle="1" w:styleId="assinatura">
    <w:name w:val="assinatura"/>
    <w:basedOn w:val="Normal"/>
    <w:qFormat/>
    <w:rsid w:val="00630D78"/>
    <w:pPr>
      <w:suppressAutoHyphens/>
      <w:jc w:val="center"/>
    </w:pPr>
    <w:rPr>
      <w:rFonts w:ascii="Courier New" w:hAnsi="Courier New"/>
      <w:b/>
      <w:szCs w:val="20"/>
    </w:rPr>
  </w:style>
  <w:style w:type="paragraph" w:customStyle="1" w:styleId="Estilo2">
    <w:name w:val="Estilo2"/>
    <w:basedOn w:val="ementa0"/>
    <w:rsid w:val="00630D78"/>
  </w:style>
  <w:style w:type="paragraph" w:customStyle="1" w:styleId="cabea">
    <w:name w:val="cabeça"/>
    <w:basedOn w:val="Normal"/>
    <w:autoRedefine/>
    <w:qFormat/>
    <w:rsid w:val="00630D78"/>
    <w:pPr>
      <w:suppressAutoHyphens/>
      <w:jc w:val="center"/>
    </w:pPr>
    <w:rPr>
      <w:rFonts w:ascii="Courier New" w:hAnsi="Courier New" w:cs="Courier New"/>
      <w:caps/>
      <w:snapToGrid w:val="0"/>
    </w:rPr>
  </w:style>
  <w:style w:type="paragraph" w:customStyle="1" w:styleId="texto20">
    <w:name w:val="texto 2"/>
    <w:basedOn w:val="Normal"/>
    <w:qFormat/>
    <w:rsid w:val="00630D78"/>
    <w:pPr>
      <w:tabs>
        <w:tab w:val="left" w:leader="dot" w:pos="9072"/>
      </w:tabs>
      <w:suppressAutoHyphens/>
      <w:spacing w:line="360" w:lineRule="auto"/>
      <w:ind w:left="1418" w:firstLine="1418"/>
      <w:jc w:val="both"/>
    </w:pPr>
    <w:rPr>
      <w:rFonts w:ascii="Courier New" w:hAnsi="Courier New"/>
      <w:snapToGrid w:val="0"/>
      <w:szCs w:val="20"/>
    </w:rPr>
  </w:style>
  <w:style w:type="paragraph" w:customStyle="1" w:styleId="DefinitionTerm">
    <w:name w:val="Definition Term"/>
    <w:basedOn w:val="Normal"/>
    <w:next w:val="DefinitionList"/>
    <w:rsid w:val="00630D78"/>
    <w:rPr>
      <w:snapToGrid w:val="0"/>
      <w:szCs w:val="20"/>
    </w:rPr>
  </w:style>
  <w:style w:type="paragraph" w:customStyle="1" w:styleId="DefinitionList">
    <w:name w:val="Definition List"/>
    <w:basedOn w:val="Normal"/>
    <w:next w:val="DefinitionTerm"/>
    <w:rsid w:val="00630D78"/>
    <w:pPr>
      <w:ind w:left="360"/>
    </w:pPr>
    <w:rPr>
      <w:snapToGrid w:val="0"/>
      <w:szCs w:val="20"/>
    </w:rPr>
  </w:style>
  <w:style w:type="character" w:customStyle="1" w:styleId="Definition">
    <w:name w:val="Definition"/>
    <w:rsid w:val="00630D78"/>
    <w:rPr>
      <w:i/>
    </w:rPr>
  </w:style>
  <w:style w:type="paragraph" w:customStyle="1" w:styleId="H1">
    <w:name w:val="H1"/>
    <w:basedOn w:val="Normal"/>
    <w:next w:val="Normal"/>
    <w:rsid w:val="00630D78"/>
    <w:pPr>
      <w:keepNext/>
      <w:spacing w:before="100" w:after="100"/>
      <w:outlineLvl w:val="1"/>
    </w:pPr>
    <w:rPr>
      <w:b/>
      <w:snapToGrid w:val="0"/>
      <w:kern w:val="36"/>
      <w:sz w:val="48"/>
      <w:szCs w:val="20"/>
    </w:rPr>
  </w:style>
  <w:style w:type="paragraph" w:customStyle="1" w:styleId="H2">
    <w:name w:val="H2"/>
    <w:basedOn w:val="Normal"/>
    <w:next w:val="Normal"/>
    <w:rsid w:val="00630D78"/>
    <w:pPr>
      <w:keepNext/>
      <w:spacing w:before="100" w:after="100"/>
      <w:outlineLvl w:val="2"/>
    </w:pPr>
    <w:rPr>
      <w:b/>
      <w:snapToGrid w:val="0"/>
      <w:sz w:val="36"/>
      <w:szCs w:val="20"/>
    </w:rPr>
  </w:style>
  <w:style w:type="paragraph" w:customStyle="1" w:styleId="H3">
    <w:name w:val="H3"/>
    <w:basedOn w:val="Normal"/>
    <w:next w:val="Normal"/>
    <w:rsid w:val="00630D78"/>
    <w:pPr>
      <w:keepNext/>
      <w:spacing w:before="100" w:after="100"/>
      <w:outlineLvl w:val="3"/>
    </w:pPr>
    <w:rPr>
      <w:b/>
      <w:snapToGrid w:val="0"/>
      <w:sz w:val="28"/>
      <w:szCs w:val="20"/>
    </w:rPr>
  </w:style>
  <w:style w:type="paragraph" w:customStyle="1" w:styleId="H4">
    <w:name w:val="H4"/>
    <w:basedOn w:val="Normal"/>
    <w:next w:val="Normal"/>
    <w:rsid w:val="00630D78"/>
    <w:pPr>
      <w:keepNext/>
      <w:spacing w:before="100" w:after="100"/>
      <w:outlineLvl w:val="4"/>
    </w:pPr>
    <w:rPr>
      <w:b/>
      <w:snapToGrid w:val="0"/>
      <w:szCs w:val="20"/>
    </w:rPr>
  </w:style>
  <w:style w:type="paragraph" w:customStyle="1" w:styleId="H5">
    <w:name w:val="H5"/>
    <w:basedOn w:val="Normal"/>
    <w:next w:val="Normal"/>
    <w:rsid w:val="00630D78"/>
    <w:pPr>
      <w:keepNext/>
      <w:spacing w:before="100" w:after="100"/>
      <w:outlineLvl w:val="5"/>
    </w:pPr>
    <w:rPr>
      <w:b/>
      <w:snapToGrid w:val="0"/>
      <w:sz w:val="20"/>
      <w:szCs w:val="20"/>
    </w:rPr>
  </w:style>
  <w:style w:type="paragraph" w:customStyle="1" w:styleId="H6">
    <w:name w:val="H6"/>
    <w:basedOn w:val="Normal"/>
    <w:next w:val="Normal"/>
    <w:rsid w:val="00630D78"/>
    <w:pPr>
      <w:keepNext/>
      <w:spacing w:before="100" w:after="100"/>
      <w:outlineLvl w:val="6"/>
    </w:pPr>
    <w:rPr>
      <w:b/>
      <w:snapToGrid w:val="0"/>
      <w:sz w:val="16"/>
      <w:szCs w:val="20"/>
    </w:rPr>
  </w:style>
  <w:style w:type="paragraph" w:customStyle="1" w:styleId="Address">
    <w:name w:val="Address"/>
    <w:basedOn w:val="Normal"/>
    <w:next w:val="Normal"/>
    <w:rsid w:val="00630D78"/>
    <w:rPr>
      <w:i/>
      <w:snapToGrid w:val="0"/>
      <w:szCs w:val="20"/>
    </w:rPr>
  </w:style>
  <w:style w:type="character" w:customStyle="1" w:styleId="CITE">
    <w:name w:val="CITE"/>
    <w:rsid w:val="00630D78"/>
    <w:rPr>
      <w:i/>
    </w:rPr>
  </w:style>
  <w:style w:type="character" w:customStyle="1" w:styleId="CODE">
    <w:name w:val="CODE"/>
    <w:rsid w:val="00630D78"/>
    <w:rPr>
      <w:rFonts w:ascii="Courier New" w:hAnsi="Courier New"/>
      <w:sz w:val="20"/>
    </w:rPr>
  </w:style>
  <w:style w:type="character" w:styleId="HiperlinkVisitado">
    <w:name w:val="FollowedHyperlink"/>
    <w:uiPriority w:val="99"/>
    <w:rsid w:val="00630D78"/>
    <w:rPr>
      <w:color w:val="800080"/>
      <w:u w:val="single"/>
    </w:rPr>
  </w:style>
  <w:style w:type="character" w:customStyle="1" w:styleId="Keyboard">
    <w:name w:val="Keyboard"/>
    <w:rsid w:val="00630D78"/>
    <w:rPr>
      <w:rFonts w:ascii="Courier New" w:hAnsi="Courier New"/>
      <w:b/>
      <w:sz w:val="20"/>
    </w:rPr>
  </w:style>
  <w:style w:type="paragraph" w:customStyle="1" w:styleId="Preformatted">
    <w:name w:val="Preformatted"/>
    <w:basedOn w:val="Normal"/>
    <w:rsid w:val="00630D78"/>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character" w:customStyle="1" w:styleId="Sample">
    <w:name w:val="Sample"/>
    <w:rsid w:val="00630D78"/>
    <w:rPr>
      <w:rFonts w:ascii="Courier New" w:hAnsi="Courier New"/>
    </w:rPr>
  </w:style>
  <w:style w:type="character" w:customStyle="1" w:styleId="Typewriter">
    <w:name w:val="Typewriter"/>
    <w:rsid w:val="00630D78"/>
    <w:rPr>
      <w:rFonts w:ascii="Courier New" w:hAnsi="Courier New"/>
      <w:sz w:val="20"/>
    </w:rPr>
  </w:style>
  <w:style w:type="character" w:customStyle="1" w:styleId="Variable">
    <w:name w:val="Variable"/>
    <w:rsid w:val="00630D78"/>
    <w:rPr>
      <w:i/>
    </w:rPr>
  </w:style>
  <w:style w:type="character" w:customStyle="1" w:styleId="HTMLMarkup">
    <w:name w:val="HTML Markup"/>
    <w:rsid w:val="00630D78"/>
    <w:rPr>
      <w:vanish/>
      <w:color w:val="FF0000"/>
    </w:rPr>
  </w:style>
  <w:style w:type="character" w:customStyle="1" w:styleId="Comment">
    <w:name w:val="Comment"/>
    <w:rsid w:val="00630D78"/>
    <w:rPr>
      <w:vanish/>
    </w:rPr>
  </w:style>
  <w:style w:type="paragraph" w:styleId="SemEspaamento">
    <w:name w:val="No Spacing"/>
    <w:uiPriority w:val="1"/>
    <w:rsid w:val="00630D78"/>
    <w:pPr>
      <w:suppressAutoHyphens/>
      <w:spacing w:after="0" w:line="240" w:lineRule="auto"/>
    </w:pPr>
    <w:rPr>
      <w:rFonts w:ascii="Times New Roman" w:eastAsia="Times New Roman" w:hAnsi="Times New Roman" w:cs="Times New Roman"/>
      <w:b/>
      <w:sz w:val="20"/>
      <w:szCs w:val="20"/>
      <w:lang w:eastAsia="pt-BR"/>
    </w:rPr>
  </w:style>
  <w:style w:type="paragraph" w:customStyle="1" w:styleId="07-Citaolegal-CLG">
    <w:name w:val="07 - Citação legal - CLG"/>
    <w:link w:val="07-Citaolegal-CLGCharChar"/>
    <w:rsid w:val="00630D78"/>
    <w:pPr>
      <w:spacing w:after="120" w:line="240" w:lineRule="auto"/>
      <w:ind w:left="1985" w:firstLine="567"/>
      <w:jc w:val="both"/>
    </w:pPr>
    <w:rPr>
      <w:rFonts w:ascii="Times New Roman" w:eastAsia="Calibri" w:hAnsi="Times New Roman" w:cs="Times New Roman"/>
      <w:bCs/>
      <w:sz w:val="24"/>
      <w:szCs w:val="20"/>
      <w:lang w:eastAsia="pt-BR"/>
    </w:rPr>
  </w:style>
  <w:style w:type="paragraph" w:customStyle="1" w:styleId="05-Pargrafodetexto-CLG">
    <w:name w:val="05 - Parágrafo de texto - CLG"/>
    <w:link w:val="05-Pargrafodetexto-CLGChar"/>
    <w:rsid w:val="00630D78"/>
    <w:pPr>
      <w:spacing w:after="360" w:line="240" w:lineRule="auto"/>
      <w:ind w:firstLine="1418"/>
      <w:jc w:val="both"/>
    </w:pPr>
    <w:rPr>
      <w:rFonts w:ascii="Times New Roman" w:eastAsia="Calibri" w:hAnsi="Times New Roman" w:cs="Times New Roman"/>
      <w:sz w:val="28"/>
      <w:szCs w:val="20"/>
      <w:lang w:eastAsia="pt-BR"/>
    </w:rPr>
  </w:style>
  <w:style w:type="character" w:customStyle="1" w:styleId="05-Pargrafodetexto-CLGChar">
    <w:name w:val="05 - Parágrafo de texto - CLG Char"/>
    <w:link w:val="05-Pargrafodetexto-CLG"/>
    <w:locked/>
    <w:rsid w:val="00630D78"/>
    <w:rPr>
      <w:rFonts w:ascii="Times New Roman" w:eastAsia="Calibri" w:hAnsi="Times New Roman" w:cs="Times New Roman"/>
      <w:sz w:val="28"/>
      <w:szCs w:val="20"/>
      <w:lang w:eastAsia="pt-BR"/>
    </w:rPr>
  </w:style>
  <w:style w:type="paragraph" w:customStyle="1" w:styleId="Recuodecorpodetexto21">
    <w:name w:val="Recuo de corpo de texto 21"/>
    <w:basedOn w:val="Normal"/>
    <w:rsid w:val="00630D78"/>
    <w:pPr>
      <w:spacing w:before="120" w:after="120"/>
      <w:ind w:firstLine="1701"/>
      <w:jc w:val="both"/>
    </w:pPr>
    <w:rPr>
      <w:sz w:val="28"/>
      <w:szCs w:val="20"/>
    </w:rPr>
  </w:style>
  <w:style w:type="paragraph" w:styleId="Corpodetexto3">
    <w:name w:val="Body Text 3"/>
    <w:basedOn w:val="Normal"/>
    <w:link w:val="Corpodetexto3Char"/>
    <w:rsid w:val="00630D78"/>
    <w:pPr>
      <w:spacing w:before="120" w:after="120" w:line="360" w:lineRule="auto"/>
      <w:jc w:val="both"/>
    </w:pPr>
    <w:rPr>
      <w:sz w:val="28"/>
      <w:szCs w:val="20"/>
    </w:rPr>
  </w:style>
  <w:style w:type="character" w:customStyle="1" w:styleId="Corpodetexto3Char">
    <w:name w:val="Corpo de texto 3 Char"/>
    <w:basedOn w:val="Fontepargpadro"/>
    <w:link w:val="Corpodetexto3"/>
    <w:rsid w:val="00630D78"/>
    <w:rPr>
      <w:rFonts w:ascii="Times New Roman" w:eastAsia="Times New Roman" w:hAnsi="Times New Roman" w:cs="Times New Roman"/>
      <w:sz w:val="28"/>
      <w:szCs w:val="20"/>
      <w:lang w:eastAsia="pt-BR"/>
    </w:rPr>
  </w:style>
  <w:style w:type="paragraph" w:customStyle="1" w:styleId="01-Minuta-CLG">
    <w:name w:val="01 - Minuta - CLG"/>
    <w:link w:val="01-Minuta-CLGChar"/>
    <w:rsid w:val="00630D78"/>
    <w:pPr>
      <w:spacing w:after="180" w:line="240" w:lineRule="auto"/>
      <w:jc w:val="center"/>
    </w:pPr>
    <w:rPr>
      <w:rFonts w:ascii="Times New Roman" w:eastAsia="Times New Roman" w:hAnsi="Times New Roman" w:cs="Times New Roman"/>
      <w:sz w:val="24"/>
      <w:lang w:eastAsia="pt-BR"/>
    </w:rPr>
  </w:style>
  <w:style w:type="character" w:customStyle="1" w:styleId="01-Minuta-CLGChar">
    <w:name w:val="01 - Minuta - CLG Char"/>
    <w:link w:val="01-Minuta-CLG"/>
    <w:rsid w:val="00630D78"/>
    <w:rPr>
      <w:rFonts w:ascii="Times New Roman" w:eastAsia="Times New Roman" w:hAnsi="Times New Roman" w:cs="Times New Roman"/>
      <w:sz w:val="24"/>
      <w:lang w:eastAsia="pt-BR"/>
    </w:rPr>
  </w:style>
  <w:style w:type="paragraph" w:customStyle="1" w:styleId="04-Relatoria-CLG">
    <w:name w:val="04 - Relatoria - CLG"/>
    <w:link w:val="04-Relatoria-CLGChar"/>
    <w:rsid w:val="00630D78"/>
    <w:pPr>
      <w:spacing w:after="960" w:line="240" w:lineRule="auto"/>
      <w:ind w:left="1440"/>
    </w:pPr>
    <w:rPr>
      <w:rFonts w:ascii="Times New Roman" w:eastAsia="Times New Roman" w:hAnsi="Times New Roman" w:cs="Times New Roman"/>
      <w:sz w:val="28"/>
      <w:lang w:eastAsia="pt-BR"/>
    </w:rPr>
  </w:style>
  <w:style w:type="character" w:customStyle="1" w:styleId="04-Relatoria-CLGChar">
    <w:name w:val="04 - Relatoria - CLG Char"/>
    <w:link w:val="04-Relatoria-CLG"/>
    <w:rsid w:val="00630D78"/>
    <w:rPr>
      <w:rFonts w:ascii="Times New Roman" w:eastAsia="Times New Roman" w:hAnsi="Times New Roman" w:cs="Times New Roman"/>
      <w:sz w:val="28"/>
      <w:lang w:eastAsia="pt-BR"/>
    </w:rPr>
  </w:style>
  <w:style w:type="paragraph" w:customStyle="1" w:styleId="05-Subttulo-CLG">
    <w:name w:val="05 - Subtítulo - CLG"/>
    <w:link w:val="05-Subttulo-CLGChar"/>
    <w:rsid w:val="00630D78"/>
    <w:pPr>
      <w:spacing w:after="480" w:line="240" w:lineRule="auto"/>
      <w:jc w:val="both"/>
    </w:pPr>
    <w:rPr>
      <w:rFonts w:ascii="Times New Roman" w:eastAsia="Times New Roman" w:hAnsi="Times New Roman" w:cs="Times New Roman"/>
      <w:b/>
      <w:bCs/>
      <w:sz w:val="28"/>
      <w:lang w:eastAsia="pt-BR"/>
    </w:rPr>
  </w:style>
  <w:style w:type="character" w:customStyle="1" w:styleId="05-Subttulo-CLGChar">
    <w:name w:val="05 - Subtítulo - CLG Char"/>
    <w:link w:val="05-Subttulo-CLG"/>
    <w:rsid w:val="00630D78"/>
    <w:rPr>
      <w:rFonts w:ascii="Times New Roman" w:eastAsia="Times New Roman" w:hAnsi="Times New Roman" w:cs="Times New Roman"/>
      <w:b/>
      <w:bCs/>
      <w:sz w:val="28"/>
      <w:lang w:eastAsia="pt-BR"/>
    </w:rPr>
  </w:style>
  <w:style w:type="character" w:customStyle="1" w:styleId="07-Citaolegal-CLGCharChar">
    <w:name w:val="07 - Citação legal - CLG Char Char"/>
    <w:link w:val="07-Citaolegal-CLG"/>
    <w:rsid w:val="00630D78"/>
    <w:rPr>
      <w:rFonts w:ascii="Times New Roman" w:eastAsia="Calibri" w:hAnsi="Times New Roman" w:cs="Times New Roman"/>
      <w:bCs/>
      <w:sz w:val="24"/>
      <w:szCs w:val="20"/>
      <w:lang w:eastAsia="pt-BR"/>
    </w:rPr>
  </w:style>
  <w:style w:type="character" w:customStyle="1" w:styleId="08-Citaolegal-ltimalinha-CLGCharChar">
    <w:name w:val="08 - Citação legal - última linha - CLG Char Char"/>
    <w:rsid w:val="00630D78"/>
    <w:rPr>
      <w:rFonts w:eastAsia="Calibri"/>
      <w:sz w:val="24"/>
    </w:rPr>
  </w:style>
  <w:style w:type="paragraph" w:customStyle="1" w:styleId="09-Ttuloemenda-CLG">
    <w:name w:val="09 - Título emenda - CLG"/>
    <w:link w:val="09-Ttuloemenda-CLGChar"/>
    <w:rsid w:val="00630D78"/>
    <w:pPr>
      <w:spacing w:before="480" w:after="360" w:line="240" w:lineRule="auto"/>
      <w:jc w:val="center"/>
    </w:pPr>
    <w:rPr>
      <w:rFonts w:ascii="Times New Roman" w:eastAsia="Times New Roman" w:hAnsi="Times New Roman" w:cs="Times New Roman"/>
      <w:b/>
      <w:bCs/>
      <w:spacing w:val="-4"/>
      <w:sz w:val="28"/>
      <w:lang w:eastAsia="pt-BR"/>
    </w:rPr>
  </w:style>
  <w:style w:type="character" w:customStyle="1" w:styleId="09-Ttuloemenda-CLGChar">
    <w:name w:val="09 - Título emenda - CLG Char"/>
    <w:link w:val="09-Ttuloemenda-CLG"/>
    <w:rsid w:val="00630D78"/>
    <w:rPr>
      <w:rFonts w:ascii="Times New Roman" w:eastAsia="Times New Roman" w:hAnsi="Times New Roman" w:cs="Times New Roman"/>
      <w:b/>
      <w:bCs/>
      <w:spacing w:val="-4"/>
      <w:sz w:val="28"/>
      <w:lang w:eastAsia="pt-BR"/>
    </w:rPr>
  </w:style>
  <w:style w:type="numbering" w:styleId="111111">
    <w:name w:val="Outline List 2"/>
    <w:basedOn w:val="Semlista"/>
    <w:semiHidden/>
    <w:rsid w:val="00630D78"/>
    <w:pPr>
      <w:numPr>
        <w:numId w:val="3"/>
      </w:numPr>
    </w:pPr>
  </w:style>
  <w:style w:type="numbering" w:styleId="1ai">
    <w:name w:val="Outline List 1"/>
    <w:basedOn w:val="Semlista"/>
    <w:semiHidden/>
    <w:rsid w:val="00630D78"/>
    <w:pPr>
      <w:numPr>
        <w:numId w:val="4"/>
      </w:numPr>
    </w:pPr>
  </w:style>
  <w:style w:type="paragraph" w:customStyle="1" w:styleId="11-Assinaturas-CLG">
    <w:name w:val="11 - Assinaturas - CLG"/>
    <w:link w:val="11-Assinaturas-CLGChar"/>
    <w:rsid w:val="00630D78"/>
    <w:pPr>
      <w:spacing w:after="960" w:line="240" w:lineRule="auto"/>
      <w:ind w:left="6240"/>
      <w:jc w:val="both"/>
    </w:pPr>
    <w:rPr>
      <w:rFonts w:ascii="Times New Roman" w:eastAsia="Times New Roman" w:hAnsi="Times New Roman" w:cs="Times New Roman"/>
      <w:sz w:val="28"/>
      <w:lang w:eastAsia="pt-BR"/>
    </w:rPr>
  </w:style>
  <w:style w:type="character" w:customStyle="1" w:styleId="11-Assinaturas-CLGChar">
    <w:name w:val="11 - Assinaturas - CLG Char"/>
    <w:link w:val="11-Assinaturas-CLG"/>
    <w:rsid w:val="00630D78"/>
    <w:rPr>
      <w:rFonts w:ascii="Times New Roman" w:eastAsia="Times New Roman" w:hAnsi="Times New Roman" w:cs="Times New Roman"/>
      <w:sz w:val="28"/>
      <w:lang w:eastAsia="pt-BR"/>
    </w:rPr>
  </w:style>
  <w:style w:type="character" w:styleId="Refdecomentrio">
    <w:name w:val="annotation reference"/>
    <w:semiHidden/>
    <w:rsid w:val="00630D78"/>
    <w:rPr>
      <w:sz w:val="16"/>
      <w:szCs w:val="16"/>
    </w:rPr>
  </w:style>
  <w:style w:type="paragraph" w:styleId="Textodecomentrio">
    <w:name w:val="annotation text"/>
    <w:basedOn w:val="Normal"/>
    <w:link w:val="TextodecomentrioChar"/>
    <w:semiHidden/>
    <w:rsid w:val="00630D78"/>
    <w:pPr>
      <w:spacing w:after="200" w:line="276" w:lineRule="auto"/>
    </w:pPr>
    <w:rPr>
      <w:rFonts w:ascii="Calibri" w:eastAsia="Calibri" w:hAnsi="Calibri"/>
      <w:sz w:val="20"/>
      <w:szCs w:val="20"/>
      <w:lang w:eastAsia="en-US"/>
    </w:rPr>
  </w:style>
  <w:style w:type="character" w:customStyle="1" w:styleId="TextodecomentrioChar">
    <w:name w:val="Texto de comentário Char"/>
    <w:basedOn w:val="Fontepargpadro"/>
    <w:link w:val="Textodecomentrio"/>
    <w:semiHidden/>
    <w:rsid w:val="00630D78"/>
    <w:rPr>
      <w:rFonts w:ascii="Calibri" w:eastAsia="Calibri" w:hAnsi="Calibri" w:cs="Times New Roman"/>
      <w:sz w:val="20"/>
      <w:szCs w:val="20"/>
    </w:rPr>
  </w:style>
  <w:style w:type="paragraph" w:customStyle="1" w:styleId="04-PargrafodetextoEstudoNotas-CLG">
    <w:name w:val="04 - Parágrafo de texto Estudo Notas - CLG"/>
    <w:link w:val="04-PargrafodetextoEstudoNotas-CLGChar"/>
    <w:rsid w:val="00630D78"/>
    <w:pPr>
      <w:spacing w:after="360" w:line="360" w:lineRule="auto"/>
      <w:ind w:firstLine="1418"/>
      <w:jc w:val="both"/>
    </w:pPr>
    <w:rPr>
      <w:rFonts w:ascii="Times New Roman" w:eastAsia="Times New Roman" w:hAnsi="Times New Roman" w:cs="Times New Roman"/>
      <w:sz w:val="28"/>
      <w:lang w:eastAsia="pt-BR"/>
    </w:rPr>
  </w:style>
  <w:style w:type="character" w:customStyle="1" w:styleId="04-PargrafodetextoEstudoNotas-CLGChar">
    <w:name w:val="04 - Parágrafo de texto Estudo Notas - CLG Char"/>
    <w:link w:val="04-PargrafodetextoEstudoNotas-CLG"/>
    <w:rsid w:val="00630D78"/>
    <w:rPr>
      <w:rFonts w:ascii="Times New Roman" w:eastAsia="Times New Roman" w:hAnsi="Times New Roman" w:cs="Times New Roman"/>
      <w:sz w:val="28"/>
      <w:lang w:eastAsia="pt-BR"/>
    </w:rPr>
  </w:style>
  <w:style w:type="paragraph" w:styleId="Assuntodocomentrio">
    <w:name w:val="annotation subject"/>
    <w:basedOn w:val="Textodecomentrio"/>
    <w:next w:val="Textodecomentrio"/>
    <w:link w:val="AssuntodocomentrioChar"/>
    <w:semiHidden/>
    <w:rsid w:val="00630D78"/>
    <w:rPr>
      <w:b/>
      <w:bCs/>
    </w:rPr>
  </w:style>
  <w:style w:type="character" w:customStyle="1" w:styleId="AssuntodocomentrioChar">
    <w:name w:val="Assunto do comentário Char"/>
    <w:basedOn w:val="TextodecomentrioChar"/>
    <w:link w:val="Assuntodocomentrio"/>
    <w:semiHidden/>
    <w:rsid w:val="00630D78"/>
    <w:rPr>
      <w:rFonts w:ascii="Calibri" w:eastAsia="Calibri" w:hAnsi="Calibri" w:cs="Times New Roman"/>
      <w:b/>
      <w:bCs/>
      <w:sz w:val="20"/>
      <w:szCs w:val="20"/>
    </w:rPr>
  </w:style>
  <w:style w:type="paragraph" w:styleId="Reviso">
    <w:name w:val="Revision"/>
    <w:hidden/>
    <w:semiHidden/>
    <w:rsid w:val="00630D78"/>
    <w:pPr>
      <w:spacing w:after="0" w:line="240" w:lineRule="auto"/>
    </w:pPr>
    <w:rPr>
      <w:rFonts w:ascii="Calibri" w:eastAsia="Calibri" w:hAnsi="Calibri" w:cs="Times New Roman"/>
    </w:rPr>
  </w:style>
  <w:style w:type="paragraph" w:customStyle="1" w:styleId="TRANSCRIOLEI0">
    <w:name w:val="TRANSCRIÇÃO LEI"/>
    <w:basedOn w:val="Normal"/>
    <w:uiPriority w:val="1"/>
    <w:rsid w:val="00630D78"/>
    <w:pPr>
      <w:spacing w:before="120" w:after="240" w:line="276" w:lineRule="auto"/>
      <w:ind w:left="2268" w:firstLine="284"/>
      <w:contextualSpacing/>
      <w:jc w:val="both"/>
    </w:pPr>
    <w:rPr>
      <w:rFonts w:ascii="Arial" w:eastAsiaTheme="minorHAnsi"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04-2006/2004/Lei/L11076.htm" TargetMode="External"/><Relationship Id="rId21" Type="http://schemas.openxmlformats.org/officeDocument/2006/relationships/hyperlink" Target="http://www.planalto.gov.br/ccivil_03/_Ato2004-2006/2004/Lei/L11076.htm" TargetMode="External"/><Relationship Id="rId34" Type="http://schemas.openxmlformats.org/officeDocument/2006/relationships/hyperlink" Target="http://www.planalto.gov.br/ccivil_03/_Ato2004-2006/2004/Lei/L11076.htm" TargetMode="External"/><Relationship Id="rId42" Type="http://schemas.openxmlformats.org/officeDocument/2006/relationships/hyperlink" Target="http://www.planalto.gov.br/ccivil_03/_Ato2004-2006/2004/Lei/L11076.htm" TargetMode="External"/><Relationship Id="rId47" Type="http://schemas.openxmlformats.org/officeDocument/2006/relationships/hyperlink" Target="http://www.planalto.gov.br/ccivil_03/_Ato2004-2006/2004/Lei/L10.931.htm" TargetMode="External"/><Relationship Id="rId50" Type="http://schemas.openxmlformats.org/officeDocument/2006/relationships/hyperlink" Target="http://www.planalto.gov.br/ccivil_03/_Ato2004-2006/2004/Lei/L10.931.htm" TargetMode="External"/><Relationship Id="rId55" Type="http://schemas.openxmlformats.org/officeDocument/2006/relationships/hyperlink" Target="http://www.planalto.gov.br/ccivil_03/_Ato2004-2006/2004/Lei/L10.931.htm" TargetMode="External"/><Relationship Id="rId63" Type="http://schemas.openxmlformats.org/officeDocument/2006/relationships/hyperlink" Target="http://www.planalto.gov.br/ccivil_03/_Ato2004-2006/2004/Lei/L10.931.htm" TargetMode="External"/><Relationship Id="rId68" Type="http://schemas.openxmlformats.org/officeDocument/2006/relationships/hyperlink" Target="http://www.planalto.gov.br/ccivil_03/Decreto-Lei/Del0167.htm" TargetMode="External"/><Relationship Id="rId76" Type="http://schemas.openxmlformats.org/officeDocument/2006/relationships/hyperlink" Target="http://www.planalto.gov.br/ccivil_03/Decreto-Lei/Del0167.htm" TargetMode="External"/><Relationship Id="rId84" Type="http://schemas.openxmlformats.org/officeDocument/2006/relationships/hyperlink" Target="http://www.planalto.gov.br/ccivil_03/_Ato2011-2014/2013/Lei/L12865.htm" TargetMode="External"/><Relationship Id="rId89" Type="http://schemas.openxmlformats.org/officeDocument/2006/relationships/hyperlink" Target="http://www.planalto.gov.br/ccivil_03/_Ato2011-2014/2013/Lei/L12865.htm" TargetMode="External"/><Relationship Id="rId97" Type="http://schemas.openxmlformats.org/officeDocument/2006/relationships/hyperlink" Target="http://www.planalto.gov.br/ccivil_03/_Ato2004-2006/2004/Lei/L11076.htm" TargetMode="External"/><Relationship Id="rId7" Type="http://schemas.openxmlformats.org/officeDocument/2006/relationships/hyperlink" Target="http://www.planalto.gov.br/ccivil_03/_Ato2015-2018/2015/Lei/L13097.htm" TargetMode="External"/><Relationship Id="rId71" Type="http://schemas.openxmlformats.org/officeDocument/2006/relationships/hyperlink" Target="http://www.planalto.gov.br/ccivil_03/Decreto-Lei/Del0167.htm" TargetMode="External"/><Relationship Id="rId92" Type="http://schemas.openxmlformats.org/officeDocument/2006/relationships/hyperlink" Target="http://www.planalto.gov.br/ccivil_03/_Ato2004-2006/2004/Lei/L11076.htm" TargetMode="External"/><Relationship Id="rId2" Type="http://schemas.openxmlformats.org/officeDocument/2006/relationships/styles" Target="styles.xml"/><Relationship Id="rId16" Type="http://schemas.openxmlformats.org/officeDocument/2006/relationships/hyperlink" Target="http://www.planalto.gov.br/ccivil_03/LEIS/L8929.htm" TargetMode="External"/><Relationship Id="rId29" Type="http://schemas.openxmlformats.org/officeDocument/2006/relationships/hyperlink" Target="http://www.planalto.gov.br/ccivil_03/_Ato2004-2006/2004/Lei/L11076.htm" TargetMode="External"/><Relationship Id="rId11" Type="http://schemas.openxmlformats.org/officeDocument/2006/relationships/hyperlink" Target="http://www.planalto.gov.br/ccivil_03/LEIS/L8427.htm" TargetMode="External"/><Relationship Id="rId24" Type="http://schemas.openxmlformats.org/officeDocument/2006/relationships/hyperlink" Target="http://www.planalto.gov.br/ccivil_03/_Ato2011-2014/2013/Lei/L12810.htm" TargetMode="External"/><Relationship Id="rId32" Type="http://schemas.openxmlformats.org/officeDocument/2006/relationships/hyperlink" Target="http://www.planalto.gov.br/ccivil_03/_Ato2004-2006/2004/Lei/L11076.htm" TargetMode="External"/><Relationship Id="rId37" Type="http://schemas.openxmlformats.org/officeDocument/2006/relationships/hyperlink" Target="http://www.planalto.gov.br/ccivil_03/_Ato2004-2006/2004/Lei/L11076.htm" TargetMode="External"/><Relationship Id="rId40" Type="http://schemas.openxmlformats.org/officeDocument/2006/relationships/hyperlink" Target="http://www.planalto.gov.br/ccivil_03/_Ato2004-2006/2004/Lei/L11076.htm" TargetMode="External"/><Relationship Id="rId45" Type="http://schemas.openxmlformats.org/officeDocument/2006/relationships/hyperlink" Target="http://www.planalto.gov.br/ccivil_03/_Ato2004-2006/2004/Lei/L11076.htm" TargetMode="External"/><Relationship Id="rId53" Type="http://schemas.openxmlformats.org/officeDocument/2006/relationships/hyperlink" Target="http://www.planalto.gov.br/ccivil_03/_Ato2004-2006/2004/Lei/L10.931.htm" TargetMode="External"/><Relationship Id="rId58" Type="http://schemas.openxmlformats.org/officeDocument/2006/relationships/hyperlink" Target="http://www.planalto.gov.br/ccivil_03/_Ato2004-2006/2004/Lei/L10.931.htm" TargetMode="External"/><Relationship Id="rId66" Type="http://schemas.openxmlformats.org/officeDocument/2006/relationships/hyperlink" Target="http://www.planalto.gov.br/ccivil_03/_Ato2004-2006/2004/Lei/L10.931.htm" TargetMode="External"/><Relationship Id="rId74" Type="http://schemas.openxmlformats.org/officeDocument/2006/relationships/hyperlink" Target="http://www.planalto.gov.br/ccivil_03/Decreto-Lei/Del0167.htm" TargetMode="External"/><Relationship Id="rId79" Type="http://schemas.openxmlformats.org/officeDocument/2006/relationships/hyperlink" Target="http://www.planalto.gov.br/ccivil_03/Decreto-Lei/Del0167.htm" TargetMode="External"/><Relationship Id="rId87" Type="http://schemas.openxmlformats.org/officeDocument/2006/relationships/hyperlink" Target="http://www.planalto.gov.br/ccivil_03/_Ato2011-2014/2013/Lei/L12865.htm" TargetMode="External"/><Relationship Id="rId5" Type="http://schemas.openxmlformats.org/officeDocument/2006/relationships/footnotes" Target="footnotes.xml"/><Relationship Id="rId61" Type="http://schemas.openxmlformats.org/officeDocument/2006/relationships/hyperlink" Target="http://www.planalto.gov.br/ccivil_03/_Ato2004-2006/2004/Lei/L10.931.htm" TargetMode="External"/><Relationship Id="rId82" Type="http://schemas.openxmlformats.org/officeDocument/2006/relationships/hyperlink" Target="http://www.planalto.gov.br/ccivil_03/Decreto-Lei/Del0167.htm" TargetMode="External"/><Relationship Id="rId90" Type="http://schemas.openxmlformats.org/officeDocument/2006/relationships/hyperlink" Target="http://www.planalto.gov.br/ccivil_03/_Ato2011-2014/2013/Lei/L12865.htm" TargetMode="External"/><Relationship Id="rId95" Type="http://schemas.openxmlformats.org/officeDocument/2006/relationships/hyperlink" Target="http://www.planalto.gov.br/ccivil_03/_Ato2004-2006/2004/Lei/L11076.htm" TargetMode="External"/><Relationship Id="rId19" Type="http://schemas.openxmlformats.org/officeDocument/2006/relationships/hyperlink" Target="http://www.planalto.gov.br/ccivil_03/_Ato2004-2006/2004/Lei/L11076.htm" TargetMode="External"/><Relationship Id="rId14" Type="http://schemas.openxmlformats.org/officeDocument/2006/relationships/hyperlink" Target="http://www.planalto.gov.br/ccivil_03/LEIS/L8929.htm" TargetMode="External"/><Relationship Id="rId22" Type="http://schemas.openxmlformats.org/officeDocument/2006/relationships/hyperlink" Target="http://www.planalto.gov.br/ccivil_03/_Ato2004-2006/2004/Lei/L11076.htm" TargetMode="External"/><Relationship Id="rId27" Type="http://schemas.openxmlformats.org/officeDocument/2006/relationships/hyperlink" Target="http://www.planalto.gov.br/ccivil_03/_Ato2004-2006/2004/Lei/L11076.htm" TargetMode="External"/><Relationship Id="rId30" Type="http://schemas.openxmlformats.org/officeDocument/2006/relationships/hyperlink" Target="http://www.planalto.gov.br/ccivil_03/_Ato2004-2006/2004/Lei/L11076.htm" TargetMode="External"/><Relationship Id="rId35" Type="http://schemas.openxmlformats.org/officeDocument/2006/relationships/hyperlink" Target="http://www.planalto.gov.br/ccivil_03/LEIS/L4829.htm" TargetMode="External"/><Relationship Id="rId43" Type="http://schemas.openxmlformats.org/officeDocument/2006/relationships/hyperlink" Target="http://www.planalto.gov.br/ccivil_03/_Ato2004-2006/2004/Lei/L11076.htm" TargetMode="External"/><Relationship Id="rId48" Type="http://schemas.openxmlformats.org/officeDocument/2006/relationships/hyperlink" Target="http://www.planalto.gov.br/ccivil_03/_Ato2004-2006/2004/Lei/L10.931.htm" TargetMode="External"/><Relationship Id="rId56" Type="http://schemas.openxmlformats.org/officeDocument/2006/relationships/hyperlink" Target="http://www.planalto.gov.br/ccivil_03/_Ato2004-2006/2004/Lei/L10.931.htm" TargetMode="External"/><Relationship Id="rId64" Type="http://schemas.openxmlformats.org/officeDocument/2006/relationships/hyperlink" Target="http://www.planalto.gov.br/ccivil_03/_Ato2004-2006/2004/Lei/L10.931.htm" TargetMode="External"/><Relationship Id="rId69" Type="http://schemas.openxmlformats.org/officeDocument/2006/relationships/hyperlink" Target="http://www.planalto.gov.br/ccivil_03/Decreto-Lei/Del0167.htm" TargetMode="External"/><Relationship Id="rId77" Type="http://schemas.openxmlformats.org/officeDocument/2006/relationships/hyperlink" Target="http://www.planalto.gov.br/ccivil_03/Decreto-Lei/Del0167.htm" TargetMode="External"/><Relationship Id="rId100" Type="http://schemas.openxmlformats.org/officeDocument/2006/relationships/fontTable" Target="fontTable.xml"/><Relationship Id="rId8" Type="http://schemas.openxmlformats.org/officeDocument/2006/relationships/hyperlink" Target="http://www.planalto.gov.br/ccivil_03/LEIS/L5868.htm" TargetMode="External"/><Relationship Id="rId51" Type="http://schemas.openxmlformats.org/officeDocument/2006/relationships/hyperlink" Target="http://www.planalto.gov.br/ccivil_03/_Ato2004-2006/2004/Lei/L10.931.htm" TargetMode="External"/><Relationship Id="rId72" Type="http://schemas.openxmlformats.org/officeDocument/2006/relationships/hyperlink" Target="http://www.planalto.gov.br/ccivil_03/Decreto-Lei/Del0167.htm" TargetMode="External"/><Relationship Id="rId80" Type="http://schemas.openxmlformats.org/officeDocument/2006/relationships/hyperlink" Target="http://www.planalto.gov.br/ccivil_03/Decreto-Lei/Del0167.htm" TargetMode="External"/><Relationship Id="rId85" Type="http://schemas.openxmlformats.org/officeDocument/2006/relationships/hyperlink" Target="http://www.planalto.gov.br/ccivil_03/_Ato2011-2014/2013/Lei/L12865.htm" TargetMode="External"/><Relationship Id="rId93" Type="http://schemas.openxmlformats.org/officeDocument/2006/relationships/hyperlink" Target="http://www.planalto.gov.br/ccivil_03/_Ato2004-2006/2004/Lei/L11076.htm" TargetMode="External"/><Relationship Id="rId98" Type="http://schemas.openxmlformats.org/officeDocument/2006/relationships/hyperlink" Target="http://www.planalto.gov.br/ccivil_03/_Ato2015-2018/2017/Lei/L13476.htm" TargetMode="External"/><Relationship Id="rId3" Type="http://schemas.openxmlformats.org/officeDocument/2006/relationships/settings" Target="settings.xml"/><Relationship Id="rId12" Type="http://schemas.openxmlformats.org/officeDocument/2006/relationships/hyperlink" Target="http://www.planalto.gov.br/ccivil_03/LEIS/L8427.htm" TargetMode="External"/><Relationship Id="rId17" Type="http://schemas.openxmlformats.org/officeDocument/2006/relationships/hyperlink" Target="http://www.planalto.gov.br/ccivil_03/_Ato2004-2006/2004/Lei/L11076.htm" TargetMode="External"/><Relationship Id="rId25" Type="http://schemas.openxmlformats.org/officeDocument/2006/relationships/hyperlink" Target="http://www.planalto.gov.br/ccivil_03/LEIS/L9973.htm" TargetMode="External"/><Relationship Id="rId33" Type="http://schemas.openxmlformats.org/officeDocument/2006/relationships/hyperlink" Target="http://www.planalto.gov.br/ccivil_03/_Ato2004-2006/2004/Lei/L11076.htm" TargetMode="External"/><Relationship Id="rId38" Type="http://schemas.openxmlformats.org/officeDocument/2006/relationships/hyperlink" Target="http://www.planalto.gov.br/ccivil_03/_Ato2004-2006/2004/Lei/L11076.htm" TargetMode="External"/><Relationship Id="rId46" Type="http://schemas.openxmlformats.org/officeDocument/2006/relationships/hyperlink" Target="http://www.planalto.gov.br/ccivil_03/_Ato2004-2006/2004/Lei/L10.931.htm" TargetMode="External"/><Relationship Id="rId59" Type="http://schemas.openxmlformats.org/officeDocument/2006/relationships/hyperlink" Target="http://www.planalto.gov.br/ccivil_03/_Ato2004-2006/2004/Lei/L10.931.htm" TargetMode="External"/><Relationship Id="rId67" Type="http://schemas.openxmlformats.org/officeDocument/2006/relationships/hyperlink" Target="http://www.planalto.gov.br/ccivil_03/_Ato2004-2006/2004/Lei/L10.931.htm" TargetMode="External"/><Relationship Id="rId20" Type="http://schemas.openxmlformats.org/officeDocument/2006/relationships/hyperlink" Target="http://www.planalto.gov.br/ccivil_03/_Ato2004-2006/2004/Lei/L11076.htm" TargetMode="External"/><Relationship Id="rId41" Type="http://schemas.openxmlformats.org/officeDocument/2006/relationships/hyperlink" Target="http://www.planalto.gov.br/ccivil_03/_Ato2004-2006/2004/Lei/L11076.htm" TargetMode="External"/><Relationship Id="rId54" Type="http://schemas.openxmlformats.org/officeDocument/2006/relationships/hyperlink" Target="http://www.planalto.gov.br/ccivil_03/_Ato2004-2006/2004/Lei/L10.931.htm" TargetMode="External"/><Relationship Id="rId62" Type="http://schemas.openxmlformats.org/officeDocument/2006/relationships/hyperlink" Target="http://www.planalto.gov.br/ccivil_03/_Ato2004-2006/2004/Lei/L10.931.htm" TargetMode="External"/><Relationship Id="rId70" Type="http://schemas.openxmlformats.org/officeDocument/2006/relationships/hyperlink" Target="http://www.planalto.gov.br/ccivil_03/Decreto-Lei/Del0167.htm" TargetMode="External"/><Relationship Id="rId75" Type="http://schemas.openxmlformats.org/officeDocument/2006/relationships/hyperlink" Target="http://www.planalto.gov.br/ccivil_03/Decreto-Lei/Del0167.htm" TargetMode="External"/><Relationship Id="rId83" Type="http://schemas.openxmlformats.org/officeDocument/2006/relationships/hyperlink" Target="http://www.planalto.gov.br/ccivil_03/_Ato2011-2014/2013/Lei/L12865.htm" TargetMode="External"/><Relationship Id="rId88" Type="http://schemas.openxmlformats.org/officeDocument/2006/relationships/hyperlink" Target="http://www.planalto.gov.br/ccivil_03/_Ato2011-2014/2013/Lei/L12810.htm" TargetMode="External"/><Relationship Id="rId91" Type="http://schemas.openxmlformats.org/officeDocument/2006/relationships/hyperlink" Target="http://www.planalto.gov.br/ccivil_03/_Ato2004-2006/2004/Lei/L11076.htm" TargetMode="External"/><Relationship Id="rId96" Type="http://schemas.openxmlformats.org/officeDocument/2006/relationships/hyperlink" Target="http://www.planalto.gov.br/ccivil_03/_Ato2004-2006/2004/Lei/L11076.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planalto.gov.br/ccivil_03/LEIS/L8929.htm" TargetMode="External"/><Relationship Id="rId23" Type="http://schemas.openxmlformats.org/officeDocument/2006/relationships/hyperlink" Target="http://www.planalto.gov.br/ccivil_03/_Ato2011-2014/2013/Lei/L12810.htm" TargetMode="External"/><Relationship Id="rId28" Type="http://schemas.openxmlformats.org/officeDocument/2006/relationships/hyperlink" Target="http://www.planalto.gov.br/ccivil_03/_Ato2004-2006/2004/Lei/L11076.htm" TargetMode="External"/><Relationship Id="rId36" Type="http://schemas.openxmlformats.org/officeDocument/2006/relationships/hyperlink" Target="http://www.planalto.gov.br/ccivil_03/_Ato2004-2006/2004/Lei/L11076.htm" TargetMode="External"/><Relationship Id="rId49" Type="http://schemas.openxmlformats.org/officeDocument/2006/relationships/hyperlink" Target="http://www.planalto.gov.br/ccivil_03/_Ato2004-2006/2004/Lei/L10.931.htm" TargetMode="External"/><Relationship Id="rId57" Type="http://schemas.openxmlformats.org/officeDocument/2006/relationships/hyperlink" Target="http://www.planalto.gov.br/ccivil_03/_Ato2004-2006/2004/Lei/L10.931.htm" TargetMode="External"/><Relationship Id="rId10" Type="http://schemas.openxmlformats.org/officeDocument/2006/relationships/hyperlink" Target="http://www.planalto.gov.br/ccivil_03/LEIS/L8427.htm" TargetMode="External"/><Relationship Id="rId31" Type="http://schemas.openxmlformats.org/officeDocument/2006/relationships/hyperlink" Target="http://www.planalto.gov.br/ccivil_03/_Ato2004-2006/2004/Lei/L11076.htm" TargetMode="External"/><Relationship Id="rId44" Type="http://schemas.openxmlformats.org/officeDocument/2006/relationships/hyperlink" Target="http://www.planalto.gov.br/ccivil_03/_Ato2004-2006/2004/Lei/L11076.htm" TargetMode="External"/><Relationship Id="rId52" Type="http://schemas.openxmlformats.org/officeDocument/2006/relationships/hyperlink" Target="http://www.planalto.gov.br/ccivil_03/_Ato2004-2006/2004/Lei/L10.931.htm" TargetMode="External"/><Relationship Id="rId60" Type="http://schemas.openxmlformats.org/officeDocument/2006/relationships/hyperlink" Target="http://www.planalto.gov.br/ccivil_03/_Ato2004-2006/2004/Lei/L10.931.htm" TargetMode="External"/><Relationship Id="rId65" Type="http://schemas.openxmlformats.org/officeDocument/2006/relationships/hyperlink" Target="http://www.planalto.gov.br/ccivil_03/_Ato2004-2006/2004/Lei/L10.931.htm" TargetMode="External"/><Relationship Id="rId73" Type="http://schemas.openxmlformats.org/officeDocument/2006/relationships/hyperlink" Target="http://www.planalto.gov.br/ccivil_03/Decreto-Lei/Del0167.htm" TargetMode="External"/><Relationship Id="rId78" Type="http://schemas.openxmlformats.org/officeDocument/2006/relationships/hyperlink" Target="http://www.planalto.gov.br/ccivil_03/Decreto-Lei/Del0167.htm" TargetMode="External"/><Relationship Id="rId81" Type="http://schemas.openxmlformats.org/officeDocument/2006/relationships/hyperlink" Target="http://www.planalto.gov.br/ccivil_03/Decreto-Lei/Del0167.htm" TargetMode="External"/><Relationship Id="rId86" Type="http://schemas.openxmlformats.org/officeDocument/2006/relationships/hyperlink" Target="http://www.planalto.gov.br/ccivil_03/_Ato2011-2014/2013/Lei/L12865.htm" TargetMode="External"/><Relationship Id="rId94" Type="http://schemas.openxmlformats.org/officeDocument/2006/relationships/hyperlink" Target="http://www.planalto.gov.br/ccivil_03/_Ato2004-2006/2004/Lei/L11076.htm"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analto.gov.br/ccivil_03/LEIS/L9514.htm" TargetMode="External"/><Relationship Id="rId13" Type="http://schemas.openxmlformats.org/officeDocument/2006/relationships/hyperlink" Target="http://www.planalto.gov.br/ccivil_03/LEIS/L8427.htm" TargetMode="External"/><Relationship Id="rId18" Type="http://schemas.openxmlformats.org/officeDocument/2006/relationships/hyperlink" Target="http://www.planalto.gov.br/ccivil_03/_Ato2004-2006/2004/Lei/L11076.htm" TargetMode="External"/><Relationship Id="rId39" Type="http://schemas.openxmlformats.org/officeDocument/2006/relationships/hyperlink" Target="http://www.planalto.gov.br/ccivil_03/_Ato2004-2006/2004/Lei/L11076.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17413</Words>
  <Characters>94034</Characters>
  <Application>Microsoft Office Word</Application>
  <DocSecurity>0</DocSecurity>
  <Lines>783</Lines>
  <Paragraphs>222</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111225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Bruno Brey Vieira</cp:lastModifiedBy>
  <cp:revision>20</cp:revision>
  <dcterms:created xsi:type="dcterms:W3CDTF">2016-06-07T18:12:00Z</dcterms:created>
  <dcterms:modified xsi:type="dcterms:W3CDTF">2019-12-04T19:48:00Z</dcterms:modified>
</cp:coreProperties>
</file>