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39" w:type="dxa"/>
        <w:tblLayout w:type="fixed"/>
        <w:tblCellMar>
          <w:left w:w="70" w:type="dxa"/>
          <w:right w:w="70" w:type="dxa"/>
        </w:tblCellMar>
        <w:tblLook w:val="0000"/>
      </w:tblPr>
      <w:tblGrid>
        <w:gridCol w:w="1560"/>
        <w:gridCol w:w="7724"/>
      </w:tblGrid>
      <w:tr w:rsidR="00B24B16" w:rsidRPr="00FA1278" w:rsidTr="0088024D">
        <w:tc>
          <w:tcPr>
            <w:tcW w:w="1560" w:type="dxa"/>
          </w:tcPr>
          <w:p w:rsidR="00B24B16" w:rsidRDefault="00B24B16" w:rsidP="0088024D">
            <w:pPr>
              <w:pStyle w:val="Heading1"/>
              <w:rPr>
                <w:sz w:val="24"/>
              </w:rPr>
            </w:pPr>
            <w:r w:rsidRPr="0070549F">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7" type="#_x0000_t75" style="width:60.75pt;height:70.5pt;visibility:visible">
                  <v:imagedata r:id="rId6" o:title=""/>
                </v:shape>
              </w:pict>
            </w:r>
          </w:p>
        </w:tc>
        <w:tc>
          <w:tcPr>
            <w:tcW w:w="7724" w:type="dxa"/>
          </w:tcPr>
          <w:p w:rsidR="00B24B16" w:rsidRPr="00FA1278" w:rsidRDefault="00B24B16" w:rsidP="0088024D">
            <w:pPr>
              <w:pStyle w:val="Heading1"/>
              <w:spacing w:before="0" w:after="0"/>
              <w:rPr>
                <w:rFonts w:ascii="Georgia" w:hAnsi="Georgia"/>
                <w:color w:val="000080"/>
                <w:kern w:val="0"/>
                <w:sz w:val="24"/>
              </w:rPr>
            </w:pPr>
          </w:p>
          <w:p w:rsidR="00B24B16" w:rsidRPr="00FA1278" w:rsidRDefault="00B24B16" w:rsidP="0088024D">
            <w:pPr>
              <w:pStyle w:val="Heading1"/>
              <w:spacing w:before="0" w:after="0"/>
              <w:rPr>
                <w:rFonts w:ascii="Georgia" w:hAnsi="Georgia"/>
                <w:color w:val="000080"/>
                <w:kern w:val="0"/>
                <w:sz w:val="24"/>
              </w:rPr>
            </w:pPr>
            <w:r w:rsidRPr="00FA1278">
              <w:rPr>
                <w:rFonts w:ascii="Georgia" w:hAnsi="Georgia"/>
                <w:color w:val="000080"/>
                <w:kern w:val="0"/>
                <w:sz w:val="24"/>
              </w:rPr>
              <w:t>SENADO FEDERAL</w:t>
            </w:r>
          </w:p>
          <w:p w:rsidR="00B24B16" w:rsidRPr="00FA1278" w:rsidRDefault="00B24B16" w:rsidP="0088024D">
            <w:pPr>
              <w:pStyle w:val="Heading1"/>
              <w:spacing w:before="0" w:after="0"/>
              <w:rPr>
                <w:rFonts w:ascii="Georgia" w:hAnsi="Georgia"/>
                <w:color w:val="000080"/>
                <w:kern w:val="0"/>
                <w:sz w:val="24"/>
              </w:rPr>
            </w:pPr>
            <w:r w:rsidRPr="00FA1278">
              <w:rPr>
                <w:rFonts w:ascii="Georgia" w:hAnsi="Georgia"/>
                <w:color w:val="000080"/>
                <w:kern w:val="0"/>
                <w:sz w:val="24"/>
              </w:rPr>
              <w:t xml:space="preserve">Senador </w:t>
            </w:r>
            <w:smartTag w:uri="urn:schemas-microsoft-com:office:smarttags" w:element="PersonName">
              <w:smartTagPr>
                <w:attr w:name="ProductID" w:val="Armando Monteiro"/>
              </w:smartTagPr>
              <w:smartTag w:uri="urn:schemas-microsoft-com:office:smarttags" w:element="PersonName">
                <w:smartTagPr>
                  <w:attr w:name="ProductID" w:val="Armando Monteiro"/>
                </w:smartTagPr>
                <w:r w:rsidRPr="00FA1278">
                  <w:rPr>
                    <w:rFonts w:ascii="Georgia" w:hAnsi="Georgia"/>
                    <w:color w:val="000080"/>
                    <w:kern w:val="0"/>
                    <w:sz w:val="24"/>
                  </w:rPr>
                  <w:t>Armando Monteiro</w:t>
                </w:r>
              </w:smartTag>
            </w:smartTag>
          </w:p>
          <w:p w:rsidR="00B24B16" w:rsidRPr="00FA1278" w:rsidRDefault="00B24B16" w:rsidP="0088024D">
            <w:pPr>
              <w:tabs>
                <w:tab w:val="right" w:pos="7584"/>
              </w:tabs>
              <w:rPr>
                <w:rFonts w:ascii="Georgia" w:hAnsi="Georgia"/>
                <w:b/>
                <w:bCs/>
              </w:rPr>
            </w:pPr>
          </w:p>
        </w:tc>
      </w:tr>
    </w:tbl>
    <w:p w:rsidR="00B24B16" w:rsidRDefault="00B24B16" w:rsidP="008355FB">
      <w:pPr>
        <w:pStyle w:val="09-Ttuloemenda-CLG"/>
        <w:spacing w:before="840" w:after="480"/>
      </w:pPr>
      <w:r w:rsidRPr="008E54E0">
        <w:t xml:space="preserve">EMENDA Nº </w:t>
      </w:r>
      <w:r>
        <w:t>1</w:t>
      </w:r>
      <w:r w:rsidRPr="008E54E0">
        <w:t xml:space="preserve"> - CAE</w:t>
      </w:r>
      <w:r>
        <w:t xml:space="preserve"> (SUBSTITUTIVO)</w:t>
      </w:r>
    </w:p>
    <w:p w:rsidR="00B24B16" w:rsidRPr="00AA61CB" w:rsidRDefault="00B24B16" w:rsidP="008355FB">
      <w:pPr>
        <w:pStyle w:val="06-Pargrafodetexto-CLG"/>
        <w:spacing w:after="120"/>
        <w:ind w:firstLine="0"/>
        <w:jc w:val="center"/>
        <w:rPr>
          <w:b/>
          <w:color w:val="000000"/>
        </w:rPr>
      </w:pPr>
      <w:r w:rsidRPr="00AA61CB">
        <w:rPr>
          <w:b/>
          <w:color w:val="000000"/>
        </w:rPr>
        <w:t xml:space="preserve">PROJETO DE LEI DO SENADO Nº 323 DE 2010 </w:t>
      </w:r>
      <w:r>
        <w:rPr>
          <w:b/>
          <w:color w:val="000000"/>
        </w:rPr>
        <w:t>–</w:t>
      </w:r>
      <w:r w:rsidRPr="00AA61CB">
        <w:rPr>
          <w:b/>
          <w:color w:val="000000"/>
        </w:rPr>
        <w:t xml:space="preserve"> COMPLEMENTAR</w:t>
      </w:r>
    </w:p>
    <w:p w:rsidR="00B24B16" w:rsidRDefault="00B24B16" w:rsidP="008355FB">
      <w:pPr>
        <w:pStyle w:val="06-Pargrafodetexto-CLG"/>
      </w:pPr>
    </w:p>
    <w:p w:rsidR="00B24B16" w:rsidRPr="00073E82" w:rsidRDefault="00B24B16" w:rsidP="008355FB">
      <w:pPr>
        <w:pStyle w:val="06-Pargrafodetexto-CLG"/>
        <w:spacing w:after="840"/>
        <w:ind w:left="3686" w:firstLine="0"/>
        <w:rPr>
          <w:sz w:val="24"/>
          <w:szCs w:val="24"/>
        </w:rPr>
      </w:pPr>
      <w:r w:rsidRPr="00073E82">
        <w:rPr>
          <w:sz w:val="24"/>
          <w:szCs w:val="24"/>
        </w:rPr>
        <w:t xml:space="preserve">Altera dispositivos da Lei Complementar nº 123, de 14 de dezembro de 2006, para </w:t>
      </w:r>
      <w:r>
        <w:rPr>
          <w:sz w:val="24"/>
          <w:szCs w:val="24"/>
        </w:rPr>
        <w:t>limitar as hipóteses de substituição tributária relativas a</w:t>
      </w:r>
      <w:r w:rsidRPr="00073E82">
        <w:rPr>
          <w:sz w:val="24"/>
          <w:szCs w:val="24"/>
        </w:rPr>
        <w:t>o ICMS</w:t>
      </w:r>
      <w:r>
        <w:rPr>
          <w:sz w:val="24"/>
          <w:szCs w:val="24"/>
        </w:rPr>
        <w:t xml:space="preserve"> não abrangidas pelo recolhimento único do Simples Nacional e vedar a possibilidade de</w:t>
      </w:r>
      <w:r w:rsidRPr="008355FB">
        <w:rPr>
          <w:sz w:val="24"/>
          <w:szCs w:val="24"/>
        </w:rPr>
        <w:t xml:space="preserve"> exigência de obrigações tributárias acessórias adicionais </w:t>
      </w:r>
      <w:r w:rsidRPr="00073E82">
        <w:rPr>
          <w:sz w:val="24"/>
          <w:szCs w:val="24"/>
        </w:rPr>
        <w:t xml:space="preserve">nos casos de </w:t>
      </w:r>
      <w:r>
        <w:rPr>
          <w:sz w:val="24"/>
          <w:szCs w:val="24"/>
        </w:rPr>
        <w:t>operações</w:t>
      </w:r>
      <w:r w:rsidRPr="00073E82">
        <w:rPr>
          <w:sz w:val="24"/>
          <w:szCs w:val="24"/>
        </w:rPr>
        <w:t xml:space="preserve"> sujeit</w:t>
      </w:r>
      <w:r>
        <w:rPr>
          <w:sz w:val="24"/>
          <w:szCs w:val="24"/>
        </w:rPr>
        <w:t>a</w:t>
      </w:r>
      <w:r w:rsidRPr="00073E82">
        <w:rPr>
          <w:sz w:val="24"/>
          <w:szCs w:val="24"/>
        </w:rPr>
        <w:t>s à substituição tributária</w:t>
      </w:r>
      <w:r>
        <w:rPr>
          <w:sz w:val="24"/>
          <w:szCs w:val="24"/>
        </w:rPr>
        <w:t>, e dá outras providências</w:t>
      </w:r>
      <w:r w:rsidRPr="00073E82">
        <w:rPr>
          <w:sz w:val="24"/>
          <w:szCs w:val="24"/>
        </w:rPr>
        <w:t>.</w:t>
      </w:r>
    </w:p>
    <w:p w:rsidR="00B24B16" w:rsidRDefault="00B24B16" w:rsidP="008355FB">
      <w:pPr>
        <w:pStyle w:val="06-Pargrafodetexto-CLG"/>
      </w:pPr>
      <w:r>
        <w:t>O CONGRESSO NACIONAL decreta:</w:t>
      </w:r>
    </w:p>
    <w:p w:rsidR="00B24B16" w:rsidRDefault="00B24B16" w:rsidP="008355FB">
      <w:pPr>
        <w:pStyle w:val="06-Pargrafodetexto-CLG"/>
      </w:pPr>
    </w:p>
    <w:p w:rsidR="00B24B16" w:rsidRDefault="00B24B16" w:rsidP="008355FB">
      <w:pPr>
        <w:pStyle w:val="06-Pargrafodetexto-CLG"/>
      </w:pPr>
      <w:r w:rsidRPr="00073E82">
        <w:rPr>
          <w:b/>
        </w:rPr>
        <w:t>Art. 1º</w:t>
      </w:r>
      <w:r>
        <w:t xml:space="preserve"> Os arts. 13 e 26 da Lei Complementar nº 123, de 14 de dezembro de 2006, passam a vigorar com as seguintes alterações:</w:t>
      </w:r>
    </w:p>
    <w:p w:rsidR="00B24B16" w:rsidRDefault="00B24B16" w:rsidP="008355FB">
      <w:pPr>
        <w:pStyle w:val="07-Citaolegal-CLG"/>
      </w:pPr>
      <w:r>
        <w:t>"Art. 13. ......................................................................</w:t>
      </w:r>
    </w:p>
    <w:p w:rsidR="00B24B16" w:rsidRDefault="00B24B16" w:rsidP="008355FB">
      <w:pPr>
        <w:pStyle w:val="07-Citaolegal-CLG"/>
      </w:pPr>
      <w:r>
        <w:t>.....................................................................................</w:t>
      </w:r>
    </w:p>
    <w:p w:rsidR="00B24B16" w:rsidRDefault="00B24B16" w:rsidP="008355FB">
      <w:pPr>
        <w:pStyle w:val="07-Citaolegal-CLG"/>
      </w:pPr>
      <w:r>
        <w:t>§ 1º  .............................................................................</w:t>
      </w:r>
    </w:p>
    <w:p w:rsidR="00B24B16" w:rsidRDefault="00B24B16" w:rsidP="008355FB">
      <w:pPr>
        <w:pStyle w:val="07-Citaolegal-CLG"/>
      </w:pPr>
      <w:r>
        <w:t xml:space="preserve">..................................................................................... </w:t>
      </w:r>
    </w:p>
    <w:p w:rsidR="00B24B16" w:rsidRDefault="00B24B16" w:rsidP="008355FB">
      <w:pPr>
        <w:pStyle w:val="07-Citaolegal-CLG"/>
      </w:pPr>
      <w:r>
        <w:t>XIII - ...........................................................................</w:t>
      </w:r>
    </w:p>
    <w:p w:rsidR="00B24B16" w:rsidRDefault="00B24B16" w:rsidP="008355FB">
      <w:pPr>
        <w:pStyle w:val="07-Citaolegal-CLG"/>
      </w:pPr>
      <w:r>
        <w:t xml:space="preserve">a) nas operações ou prestações sujeitas ao regime de substituição tributária, tributação concentrada em uma única etapa (monofásica) e </w:t>
      </w:r>
      <w:r w:rsidRPr="003E4AE7">
        <w:t>sujeitas ao regime de antecipação do recolhimento do imposto</w:t>
      </w:r>
      <w:r>
        <w:t>, envolvendo produção, fabricação, geração, distribuição e comércio atacadista de combustíveis e lubrificantes, energia elétrica, cigarros, águas, refrigerantes, cervejas, bebidas alcoólicas refrescantes (cooler), bebidas energéticas, bebidas isotônicas, embalagens para bebidas, óleos vegetais comestíveis, margarinas, farinha de trigo, açúcar refinado, ração pet para animais domésticos, motocicletas, tratores, veículos automotivos, autopeças, pneus novos de borracha, câmaras de ar de borracha, produtos farmoquímicos, preparações farmacêuticas, medicamentos para uso humano ou veterinário, cosméticos, produtos de perfumaria e de higiene pessoal, papel A4, adubos e fertilizantes, defensivos agrícolas, cimento e tubos de PVC, tintas e vernizes, produtos eletroeletrônicos e eletrodomésticos, lâmpadas, pilhas, baterias, fios e cabos;</w:t>
      </w:r>
    </w:p>
    <w:p w:rsidR="00B24B16" w:rsidRDefault="00B24B16" w:rsidP="008355FB">
      <w:pPr>
        <w:pStyle w:val="07-Citaolegal-CLG"/>
      </w:pPr>
      <w:r>
        <w:t>...................................................................................” (NR)</w:t>
      </w:r>
    </w:p>
    <w:p w:rsidR="00B24B16" w:rsidRPr="003E45B9" w:rsidRDefault="00B24B16" w:rsidP="008355FB">
      <w:pPr>
        <w:pStyle w:val="07-Citaolegal-CLG"/>
      </w:pPr>
      <w:r>
        <w:t>“</w:t>
      </w:r>
      <w:r w:rsidRPr="003E45B9">
        <w:t>Art. 26.  .......................................................</w:t>
      </w:r>
      <w:r>
        <w:t>.....</w:t>
      </w:r>
      <w:r w:rsidRPr="003E45B9">
        <w:t>.......</w:t>
      </w:r>
      <w:r>
        <w:t>...</w:t>
      </w:r>
    </w:p>
    <w:p w:rsidR="00B24B16" w:rsidRPr="003E45B9" w:rsidRDefault="00B24B16" w:rsidP="008355FB">
      <w:pPr>
        <w:pStyle w:val="07-Citaolegal-CLG"/>
      </w:pPr>
      <w:r w:rsidRPr="003E45B9">
        <w:t>..........................................................................</w:t>
      </w:r>
      <w:r>
        <w:t>............</w:t>
      </w:r>
    </w:p>
    <w:p w:rsidR="00B24B16" w:rsidRDefault="00B24B16" w:rsidP="008355FB">
      <w:pPr>
        <w:pStyle w:val="07-Citaolegal-CLG"/>
      </w:pPr>
      <w:r w:rsidRPr="003E45B9">
        <w:t>§ 4º É vedada a exigência de obrigações tributárias acessórias relativas aos tributos apurados na forma do Simples Nacional além daquelas estipuladas pelo CGSN e atendidas por meio do Portal do Simples Nacional, bem como, o estabelecimento de exigências adicionais e unilaterais pelos entes federativos.</w:t>
      </w:r>
    </w:p>
    <w:p w:rsidR="00B24B16" w:rsidRPr="003E45B9" w:rsidRDefault="00B24B16" w:rsidP="008355FB">
      <w:pPr>
        <w:pStyle w:val="07-Citaolegal-CLG"/>
      </w:pPr>
      <w:r>
        <w:t>......................................................................................</w:t>
      </w:r>
    </w:p>
    <w:p w:rsidR="00B24B16" w:rsidRPr="003E45B9" w:rsidRDefault="00B24B16" w:rsidP="008355FB">
      <w:pPr>
        <w:pStyle w:val="07-Citaolegal-CLG"/>
      </w:pPr>
      <w:r>
        <w:t>§ 8º</w:t>
      </w:r>
      <w:r w:rsidRPr="003E45B9">
        <w:t xml:space="preserve"> As informações a serem prestadas relativas ao ICMS devido na forma prevista nas alíneas </w:t>
      </w:r>
      <w:r w:rsidRPr="00C247FD">
        <w:rPr>
          <w:i/>
        </w:rPr>
        <w:t>a</w:t>
      </w:r>
      <w:r w:rsidRPr="003E45B9">
        <w:t xml:space="preserve"> e </w:t>
      </w:r>
      <w:r w:rsidRPr="00C247FD">
        <w:rPr>
          <w:i/>
        </w:rPr>
        <w:t>h</w:t>
      </w:r>
      <w:r w:rsidRPr="003E45B9">
        <w:t xml:space="preserve">, do inciso XIII, do § 1º, do art. 13, serão fornecidas por meio de aplicativo único. </w:t>
      </w:r>
    </w:p>
    <w:p w:rsidR="00B24B16" w:rsidRPr="003E45B9" w:rsidRDefault="00B24B16" w:rsidP="008355FB">
      <w:pPr>
        <w:pStyle w:val="07-Citaolegal-CLG"/>
      </w:pPr>
      <w:r>
        <w:t>§9º</w:t>
      </w:r>
      <w:r w:rsidRPr="003E45B9">
        <w:t xml:space="preserve"> Fica estabelecida a obrigatoriedade de utilização da Nota Fiscal Eletrônica (NF-e) nas operações e prestações efetuadas relativas ao ICMS por microempresa e empresas de pequeno porte nas hipóteses previstas nas alíneas </w:t>
      </w:r>
      <w:r w:rsidRPr="00C247FD">
        <w:rPr>
          <w:i/>
        </w:rPr>
        <w:t>a</w:t>
      </w:r>
      <w:r w:rsidRPr="003E45B9">
        <w:t xml:space="preserve"> e </w:t>
      </w:r>
      <w:r>
        <w:rPr>
          <w:i/>
        </w:rPr>
        <w:t>h</w:t>
      </w:r>
      <w:r w:rsidRPr="003E45B9">
        <w:t xml:space="preserve"> do inciso XIII, do § 1º, do art. 13.</w:t>
      </w:r>
    </w:p>
    <w:p w:rsidR="00B24B16" w:rsidRPr="003E45B9" w:rsidRDefault="00B24B16" w:rsidP="008355FB">
      <w:pPr>
        <w:pStyle w:val="07-Citaolegal-CLG"/>
        <w:rPr>
          <w:b/>
        </w:rPr>
      </w:pPr>
      <w:r>
        <w:t>§ 10</w:t>
      </w:r>
      <w:r w:rsidRPr="003E45B9">
        <w:t xml:space="preserve"> Os aplicativos necessários ao cumprimento do disposto nos </w:t>
      </w:r>
      <w:r>
        <w:t>§§ 8º e 9º deste artigo</w:t>
      </w:r>
      <w:r w:rsidRPr="003E45B9">
        <w:t xml:space="preserve"> serão disponibilizados de forma gratuita no portal do Simples Nacional</w:t>
      </w:r>
      <w:r>
        <w:t xml:space="preserve">.“ </w:t>
      </w:r>
      <w:r w:rsidRPr="003E45B9">
        <w:t>(NR)</w:t>
      </w:r>
    </w:p>
    <w:p w:rsidR="00B24B16" w:rsidRDefault="00B24B16" w:rsidP="008355FB">
      <w:pPr>
        <w:pStyle w:val="06-Pargrafodetexto-CLG"/>
      </w:pPr>
      <w:r w:rsidRPr="00073E82">
        <w:rPr>
          <w:b/>
        </w:rPr>
        <w:t xml:space="preserve">Art. </w:t>
      </w:r>
      <w:r>
        <w:rPr>
          <w:b/>
        </w:rPr>
        <w:t>2</w:t>
      </w:r>
      <w:r w:rsidRPr="00073E82">
        <w:rPr>
          <w:b/>
        </w:rPr>
        <w:t>º</w:t>
      </w:r>
      <w:r>
        <w:t xml:space="preserve"> A Lei Complementar nº 123, de 14 de dezembro de 2006, passa a vigorar acrescida do seguinte art. 21-A:</w:t>
      </w:r>
    </w:p>
    <w:p w:rsidR="00B24B16" w:rsidRDefault="00B24B16" w:rsidP="008355FB">
      <w:pPr>
        <w:pStyle w:val="08-Citaolegal-ltimalinha-CLG"/>
      </w:pPr>
      <w:r>
        <w:t xml:space="preserve">“Art. 21-A. Os Estados e o Distrito Federal deverão observar, </w:t>
      </w:r>
      <w:smartTag w:uri="urn:schemas-microsoft-com:office:smarttags" w:element="PersonName">
        <w:smartTagPr>
          <w:attr w:name="ProductID" w:val="em relação ao ICMS"/>
        </w:smartTagPr>
        <w:r>
          <w:t>em relação ao ICMS</w:t>
        </w:r>
      </w:smartTag>
      <w:r>
        <w:t>, o prazo mínimo de 90 dias, contados a partir do primeiro dia do mês do fato gerador da obrigação tributária, para estabelecer a data de vencimento do imposto devido por substituição tributária, tributação concentrada em uma única etapa (monofásica) e por antecipação tributária com ou sem encerramento de tributação, nas hipóteses em que a responsabilidade recair sobre operações ou prestações subsequentes, na forma regulamentada pelo Comitê Gestor.”</w:t>
      </w:r>
    </w:p>
    <w:p w:rsidR="00B24B16" w:rsidRDefault="00B24B16" w:rsidP="008355FB">
      <w:pPr>
        <w:pStyle w:val="06-Pargrafodetexto-CLG"/>
        <w:rPr>
          <w:b/>
        </w:rPr>
      </w:pPr>
      <w:r>
        <w:rPr>
          <w:b/>
        </w:rPr>
        <w:t xml:space="preserve">Art. 3º </w:t>
      </w:r>
      <w:r w:rsidRPr="003E45B9">
        <w:t>O Comitê Gestor regulamentará o disposto n</w:t>
      </w:r>
      <w:r>
        <w:t xml:space="preserve">os §§ 8º, 9º e 10 do art. 26 da Lei Complementar nº 123, de 2006, </w:t>
      </w:r>
      <w:r w:rsidRPr="003E45B9">
        <w:t>no prazo de 180 (cento e oitenta) dias a contar da publicação desta Lei Complementar. </w:t>
      </w:r>
    </w:p>
    <w:p w:rsidR="00B24B16" w:rsidRDefault="00B24B16" w:rsidP="008355FB">
      <w:pPr>
        <w:pStyle w:val="06-Pargrafodetexto-CLG"/>
      </w:pPr>
      <w:r>
        <w:rPr>
          <w:b/>
        </w:rPr>
        <w:t xml:space="preserve">Art. 4º </w:t>
      </w:r>
      <w:r>
        <w:t>Esta Lei entra em vigor 180 dias após a data de sua publicação.</w:t>
      </w:r>
    </w:p>
    <w:p w:rsidR="00B24B16" w:rsidRDefault="00B24B16" w:rsidP="008355FB">
      <w:pPr>
        <w:pStyle w:val="10-Local-CLG"/>
      </w:pPr>
      <w:r>
        <w:t>Sala da Comissão, em 8 de abril de 2014.</w:t>
      </w:r>
    </w:p>
    <w:p w:rsidR="00B24B16" w:rsidRPr="00724990" w:rsidRDefault="00B24B16" w:rsidP="00B14362">
      <w:pPr>
        <w:pStyle w:val="11-Assinaturas-CLG"/>
        <w:ind w:left="3240"/>
        <w:jc w:val="right"/>
      </w:pPr>
      <w:r>
        <w:t>Senador LINDBERGH FARIAS, Presidente</w:t>
      </w:r>
    </w:p>
    <w:p w:rsidR="00B24B16" w:rsidRPr="00D06EEC" w:rsidRDefault="00B24B16" w:rsidP="00B14362">
      <w:pPr>
        <w:pStyle w:val="11-Assinaturas-CLG"/>
        <w:ind w:left="3240"/>
        <w:jc w:val="right"/>
      </w:pPr>
      <w:r>
        <w:t xml:space="preserve">Senador </w:t>
      </w:r>
      <w:smartTag w:uri="urn:schemas-microsoft-com:office:smarttags" w:element="PersonName">
        <w:smartTagPr>
          <w:attr w:name="ProductID" w:val="ARMANDO MONTEIRO,"/>
        </w:smartTagPr>
        <w:r>
          <w:t>ARMANDO MONTEIRO,</w:t>
        </w:r>
      </w:smartTag>
      <w:r>
        <w:t xml:space="preserve"> Relator</w:t>
      </w:r>
    </w:p>
    <w:p w:rsidR="00B24B16" w:rsidRDefault="00B24B16"/>
    <w:sectPr w:rsidR="00B24B16" w:rsidSect="00B250A9">
      <w:headerReference w:type="even" r:id="rId7"/>
      <w:headerReference w:type="default" r:id="rId8"/>
      <w:footerReference w:type="first" r:id="rId9"/>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B16" w:rsidRDefault="00B24B16">
      <w:r>
        <w:separator/>
      </w:r>
    </w:p>
  </w:endnote>
  <w:endnote w:type="continuationSeparator" w:id="0">
    <w:p w:rsidR="00B24B16" w:rsidRDefault="00B24B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16" w:rsidRPr="00342E7D" w:rsidRDefault="00B24B16">
    <w:pPr>
      <w:pStyle w:val="Footer"/>
      <w:rPr>
        <w:i/>
        <w:sz w:val="18"/>
        <w:szCs w:val="18"/>
      </w:rPr>
    </w:pPr>
    <w:r w:rsidRPr="00342E7D">
      <w:rPr>
        <w:i/>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B16" w:rsidRDefault="00B24B16">
      <w:r>
        <w:separator/>
      </w:r>
    </w:p>
  </w:footnote>
  <w:footnote w:type="continuationSeparator" w:id="0">
    <w:p w:rsidR="00B24B16" w:rsidRDefault="00B24B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16" w:rsidRDefault="00B24B16" w:rsidP="00B250A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24B16" w:rsidRDefault="00B24B16">
    <w:pPr>
      <w:pStyle w:val="Header"/>
      <w:ind w:right="360"/>
    </w:pPr>
  </w:p>
  <w:p w:rsidR="00B24B16" w:rsidRDefault="00B24B1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B16" w:rsidRDefault="00B24B16" w:rsidP="00B250A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tbl>
    <w:tblPr>
      <w:tblW w:w="0" w:type="auto"/>
      <w:tblInd w:w="-639" w:type="dxa"/>
      <w:tblLayout w:type="fixed"/>
      <w:tblCellMar>
        <w:left w:w="70" w:type="dxa"/>
        <w:right w:w="70" w:type="dxa"/>
      </w:tblCellMar>
      <w:tblLook w:val="0000"/>
    </w:tblPr>
    <w:tblGrid>
      <w:gridCol w:w="1560"/>
      <w:gridCol w:w="7724"/>
    </w:tblGrid>
    <w:tr w:rsidR="00B24B16" w:rsidRPr="00FA1278" w:rsidTr="0088024D">
      <w:tc>
        <w:tcPr>
          <w:tcW w:w="1560" w:type="dxa"/>
        </w:tcPr>
        <w:p w:rsidR="00B24B16" w:rsidRDefault="00B24B16" w:rsidP="0088024D">
          <w:pPr>
            <w:pStyle w:val="Heading1"/>
            <w:rPr>
              <w:sz w:val="24"/>
            </w:rPr>
          </w:pPr>
          <w:r w:rsidRPr="0070549F">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4" o:spid="_x0000_i1026" type="#_x0000_t75" style="width:60.75pt;height:70.5pt;visibility:visible">
                <v:imagedata r:id="rId1" o:title=""/>
              </v:shape>
            </w:pict>
          </w:r>
        </w:p>
      </w:tc>
      <w:tc>
        <w:tcPr>
          <w:tcW w:w="7724" w:type="dxa"/>
        </w:tcPr>
        <w:p w:rsidR="00B24B16" w:rsidRPr="00FA1278" w:rsidRDefault="00B24B16" w:rsidP="0088024D">
          <w:pPr>
            <w:pStyle w:val="Heading1"/>
            <w:spacing w:before="0" w:after="0"/>
            <w:rPr>
              <w:rFonts w:ascii="Georgia" w:hAnsi="Georgia"/>
              <w:color w:val="000080"/>
              <w:kern w:val="0"/>
              <w:sz w:val="24"/>
            </w:rPr>
          </w:pPr>
        </w:p>
        <w:p w:rsidR="00B24B16" w:rsidRPr="00FA1278" w:rsidRDefault="00B24B16" w:rsidP="0088024D">
          <w:pPr>
            <w:pStyle w:val="Heading1"/>
            <w:spacing w:before="0" w:after="0"/>
            <w:rPr>
              <w:rFonts w:ascii="Georgia" w:hAnsi="Georgia"/>
              <w:color w:val="000080"/>
              <w:kern w:val="0"/>
              <w:sz w:val="24"/>
            </w:rPr>
          </w:pPr>
          <w:r w:rsidRPr="00FA1278">
            <w:rPr>
              <w:rFonts w:ascii="Georgia" w:hAnsi="Georgia"/>
              <w:color w:val="000080"/>
              <w:kern w:val="0"/>
              <w:sz w:val="24"/>
            </w:rPr>
            <w:t>SENADO FEDERAL</w:t>
          </w:r>
        </w:p>
        <w:p w:rsidR="00B24B16" w:rsidRPr="00FA1278" w:rsidRDefault="00B24B16" w:rsidP="0088024D">
          <w:pPr>
            <w:pStyle w:val="Heading1"/>
            <w:spacing w:before="0" w:after="0"/>
            <w:rPr>
              <w:rFonts w:ascii="Georgia" w:hAnsi="Georgia"/>
              <w:color w:val="000080"/>
              <w:kern w:val="0"/>
              <w:sz w:val="24"/>
            </w:rPr>
          </w:pPr>
          <w:r w:rsidRPr="00FA1278">
            <w:rPr>
              <w:rFonts w:ascii="Georgia" w:hAnsi="Georgia"/>
              <w:color w:val="000080"/>
              <w:kern w:val="0"/>
              <w:sz w:val="24"/>
            </w:rPr>
            <w:t xml:space="preserve">Senador </w:t>
          </w:r>
          <w:smartTag w:uri="urn:schemas-microsoft-com:office:smarttags" w:element="PersonName">
            <w:smartTagPr>
              <w:attr w:name="ProductID" w:val="Armando Monteiro"/>
            </w:smartTagPr>
            <w:smartTag w:uri="urn:schemas-microsoft-com:office:smarttags" w:element="PersonName">
              <w:smartTagPr>
                <w:attr w:name="ProductID" w:val="Armando Monteiro"/>
              </w:smartTagPr>
              <w:r w:rsidRPr="00FA1278">
                <w:rPr>
                  <w:rFonts w:ascii="Georgia" w:hAnsi="Georgia"/>
                  <w:color w:val="000080"/>
                  <w:kern w:val="0"/>
                  <w:sz w:val="24"/>
                </w:rPr>
                <w:t>Armando Monteiro</w:t>
              </w:r>
            </w:smartTag>
          </w:smartTag>
        </w:p>
        <w:p w:rsidR="00B24B16" w:rsidRPr="00FA1278" w:rsidRDefault="00B24B16" w:rsidP="0088024D">
          <w:pPr>
            <w:tabs>
              <w:tab w:val="right" w:pos="7584"/>
            </w:tabs>
            <w:rPr>
              <w:rFonts w:ascii="Georgia" w:hAnsi="Georgia"/>
              <w:b/>
              <w:bCs/>
            </w:rPr>
          </w:pPr>
        </w:p>
      </w:tc>
    </w:tr>
  </w:tbl>
  <w:p w:rsidR="00B24B16" w:rsidRDefault="00B24B16"/>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55FB"/>
    <w:rsid w:val="000013D8"/>
    <w:rsid w:val="00073E82"/>
    <w:rsid w:val="000A7736"/>
    <w:rsid w:val="000D1DE4"/>
    <w:rsid w:val="001A5282"/>
    <w:rsid w:val="001D7044"/>
    <w:rsid w:val="002032CD"/>
    <w:rsid w:val="00242043"/>
    <w:rsid w:val="00242B47"/>
    <w:rsid w:val="00251638"/>
    <w:rsid w:val="0028017D"/>
    <w:rsid w:val="00306F22"/>
    <w:rsid w:val="00312778"/>
    <w:rsid w:val="00321D4C"/>
    <w:rsid w:val="00321E91"/>
    <w:rsid w:val="003311AC"/>
    <w:rsid w:val="00342E7D"/>
    <w:rsid w:val="003A762D"/>
    <w:rsid w:val="003E45B9"/>
    <w:rsid w:val="003E4AE7"/>
    <w:rsid w:val="00402172"/>
    <w:rsid w:val="00402316"/>
    <w:rsid w:val="00404CC7"/>
    <w:rsid w:val="00433B79"/>
    <w:rsid w:val="0048395D"/>
    <w:rsid w:val="004B200C"/>
    <w:rsid w:val="004B4E45"/>
    <w:rsid w:val="004D6A26"/>
    <w:rsid w:val="00526DBC"/>
    <w:rsid w:val="0053646D"/>
    <w:rsid w:val="005412B8"/>
    <w:rsid w:val="005523B9"/>
    <w:rsid w:val="00573781"/>
    <w:rsid w:val="005C3406"/>
    <w:rsid w:val="005D0597"/>
    <w:rsid w:val="006001A7"/>
    <w:rsid w:val="0063438F"/>
    <w:rsid w:val="00651A63"/>
    <w:rsid w:val="006D5F5D"/>
    <w:rsid w:val="0070549F"/>
    <w:rsid w:val="00710913"/>
    <w:rsid w:val="007160F0"/>
    <w:rsid w:val="00724990"/>
    <w:rsid w:val="00727762"/>
    <w:rsid w:val="0079786F"/>
    <w:rsid w:val="007C534C"/>
    <w:rsid w:val="008355FB"/>
    <w:rsid w:val="00851A9C"/>
    <w:rsid w:val="00863C18"/>
    <w:rsid w:val="0088024D"/>
    <w:rsid w:val="00892776"/>
    <w:rsid w:val="008A49DD"/>
    <w:rsid w:val="008C75F9"/>
    <w:rsid w:val="008E54E0"/>
    <w:rsid w:val="00945D93"/>
    <w:rsid w:val="009472C1"/>
    <w:rsid w:val="00AA61CB"/>
    <w:rsid w:val="00AF4265"/>
    <w:rsid w:val="00B01AA7"/>
    <w:rsid w:val="00B125CF"/>
    <w:rsid w:val="00B14362"/>
    <w:rsid w:val="00B24B16"/>
    <w:rsid w:val="00B250A9"/>
    <w:rsid w:val="00B34609"/>
    <w:rsid w:val="00B418B0"/>
    <w:rsid w:val="00B521B6"/>
    <w:rsid w:val="00B565FA"/>
    <w:rsid w:val="00B74137"/>
    <w:rsid w:val="00BC3269"/>
    <w:rsid w:val="00BD2A70"/>
    <w:rsid w:val="00BF09E9"/>
    <w:rsid w:val="00BF3099"/>
    <w:rsid w:val="00C0516A"/>
    <w:rsid w:val="00C247FD"/>
    <w:rsid w:val="00D06EEC"/>
    <w:rsid w:val="00D6148F"/>
    <w:rsid w:val="00D643A6"/>
    <w:rsid w:val="00D91DDB"/>
    <w:rsid w:val="00DB278A"/>
    <w:rsid w:val="00DC7CEE"/>
    <w:rsid w:val="00E2799C"/>
    <w:rsid w:val="00E95050"/>
    <w:rsid w:val="00EE7577"/>
    <w:rsid w:val="00F22C2C"/>
    <w:rsid w:val="00F2394F"/>
    <w:rsid w:val="00F272D5"/>
    <w:rsid w:val="00F33108"/>
    <w:rsid w:val="00F75C71"/>
    <w:rsid w:val="00FA1278"/>
    <w:rsid w:val="00FC74CC"/>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5FB"/>
    <w:rPr>
      <w:sz w:val="24"/>
      <w:szCs w:val="24"/>
    </w:rPr>
  </w:style>
  <w:style w:type="paragraph" w:styleId="Heading1">
    <w:name w:val="heading 1"/>
    <w:basedOn w:val="Normal"/>
    <w:next w:val="Normal"/>
    <w:link w:val="Heading1Char"/>
    <w:uiPriority w:val="99"/>
    <w:qFormat/>
    <w:rsid w:val="00F272D5"/>
    <w:pPr>
      <w:keepNext/>
      <w:spacing w:before="240" w:after="60"/>
      <w:outlineLvl w:val="0"/>
    </w:pPr>
    <w:rPr>
      <w:rFonts w:ascii="Arial" w:hAnsi="Arial"/>
      <w:b/>
      <w:kern w:val="28"/>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272D5"/>
    <w:rPr>
      <w:rFonts w:ascii="Arial" w:hAnsi="Arial" w:cs="Times New Roman"/>
      <w:b/>
      <w:kern w:val="28"/>
      <w:sz w:val="28"/>
    </w:rPr>
  </w:style>
  <w:style w:type="paragraph" w:styleId="Header">
    <w:name w:val="header"/>
    <w:basedOn w:val="Normal"/>
    <w:link w:val="HeaderChar"/>
    <w:uiPriority w:val="99"/>
    <w:semiHidden/>
    <w:rsid w:val="008355FB"/>
    <w:pPr>
      <w:tabs>
        <w:tab w:val="center" w:pos="4419"/>
        <w:tab w:val="right" w:pos="8838"/>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semiHidden/>
    <w:rsid w:val="008355FB"/>
    <w:pPr>
      <w:tabs>
        <w:tab w:val="center" w:pos="4419"/>
        <w:tab w:val="right" w:pos="8838"/>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semiHidden/>
    <w:rsid w:val="008355FB"/>
    <w:rPr>
      <w:rFonts w:cs="Times New Roman"/>
    </w:rPr>
  </w:style>
  <w:style w:type="paragraph" w:customStyle="1" w:styleId="01-Minuta-CLG">
    <w:name w:val="01 - Minuta - CLG"/>
    <w:link w:val="01-Minuta-CLGChar"/>
    <w:uiPriority w:val="99"/>
    <w:rsid w:val="008355FB"/>
    <w:pPr>
      <w:spacing w:after="180"/>
      <w:jc w:val="center"/>
    </w:pPr>
    <w:rPr>
      <w:sz w:val="24"/>
      <w:szCs w:val="20"/>
    </w:rPr>
  </w:style>
  <w:style w:type="paragraph" w:customStyle="1" w:styleId="02-TtuloPrincipal-CLG">
    <w:name w:val="02 - Título Principal - CLG"/>
    <w:link w:val="02-TtuloPrincipal-CLGChar"/>
    <w:uiPriority w:val="99"/>
    <w:rsid w:val="008355FB"/>
    <w:pPr>
      <w:spacing w:after="960"/>
      <w:jc w:val="center"/>
    </w:pPr>
    <w:rPr>
      <w:b/>
      <w:bCs/>
      <w:sz w:val="32"/>
      <w:szCs w:val="20"/>
    </w:rPr>
  </w:style>
  <w:style w:type="paragraph" w:customStyle="1" w:styleId="03-Ementa-CLG">
    <w:name w:val="03 - Ementa - CLG"/>
    <w:link w:val="03-Ementa-CLGCharChar"/>
    <w:uiPriority w:val="99"/>
    <w:rsid w:val="008355FB"/>
    <w:pPr>
      <w:spacing w:after="960"/>
      <w:ind w:left="3686"/>
      <w:jc w:val="both"/>
    </w:pPr>
    <w:rPr>
      <w:sz w:val="24"/>
      <w:szCs w:val="24"/>
    </w:rPr>
  </w:style>
  <w:style w:type="character" w:customStyle="1" w:styleId="03-Ementa-CLGCharChar">
    <w:name w:val="03 - Ementa - CLG Char Char"/>
    <w:basedOn w:val="DefaultParagraphFont"/>
    <w:link w:val="03-Ementa-CLG"/>
    <w:uiPriority w:val="99"/>
    <w:locked/>
    <w:rsid w:val="008355FB"/>
    <w:rPr>
      <w:rFonts w:cs="Times New Roman"/>
      <w:sz w:val="24"/>
      <w:szCs w:val="24"/>
      <w:lang w:val="pt-BR" w:eastAsia="pt-BR" w:bidi="ar-SA"/>
    </w:rPr>
  </w:style>
  <w:style w:type="paragraph" w:customStyle="1" w:styleId="04-Relatoria-CLG">
    <w:name w:val="04 - Relatoria - CLG"/>
    <w:link w:val="04-Relatoria-CLGChar"/>
    <w:uiPriority w:val="99"/>
    <w:rsid w:val="008355FB"/>
    <w:pPr>
      <w:spacing w:after="960"/>
      <w:ind w:left="1440"/>
    </w:pPr>
    <w:rPr>
      <w:sz w:val="28"/>
      <w:szCs w:val="20"/>
    </w:rPr>
  </w:style>
  <w:style w:type="paragraph" w:customStyle="1" w:styleId="05-Subttulo-CLG">
    <w:name w:val="05 - Subtítulo - CLG"/>
    <w:link w:val="05-Subttulo-CLGChar"/>
    <w:uiPriority w:val="99"/>
    <w:rsid w:val="008355FB"/>
    <w:pPr>
      <w:spacing w:after="480"/>
      <w:jc w:val="both"/>
    </w:pPr>
    <w:rPr>
      <w:b/>
      <w:bCs/>
      <w:sz w:val="28"/>
      <w:szCs w:val="20"/>
    </w:rPr>
  </w:style>
  <w:style w:type="paragraph" w:customStyle="1" w:styleId="06-Pargrafodetexto-CLG">
    <w:name w:val="06 - Parágrafo de texto - CLG"/>
    <w:link w:val="06-Pargrafodetexto-CLGChar"/>
    <w:uiPriority w:val="99"/>
    <w:rsid w:val="008355FB"/>
    <w:pPr>
      <w:spacing w:after="360"/>
      <w:ind w:firstLine="1418"/>
      <w:jc w:val="both"/>
    </w:pPr>
    <w:rPr>
      <w:sz w:val="28"/>
      <w:szCs w:val="20"/>
    </w:rPr>
  </w:style>
  <w:style w:type="character" w:customStyle="1" w:styleId="01-Minuta-CLGChar">
    <w:name w:val="01 - Minuta - CLG Char"/>
    <w:basedOn w:val="DefaultParagraphFont"/>
    <w:link w:val="01-Minuta-CLG"/>
    <w:uiPriority w:val="99"/>
    <w:locked/>
    <w:rsid w:val="008355FB"/>
    <w:rPr>
      <w:rFonts w:cs="Times New Roman"/>
      <w:sz w:val="24"/>
      <w:lang w:val="pt-BR" w:eastAsia="pt-BR" w:bidi="ar-SA"/>
    </w:rPr>
  </w:style>
  <w:style w:type="paragraph" w:customStyle="1" w:styleId="10-Local-CLG">
    <w:name w:val="10 - Local - CLG"/>
    <w:link w:val="10-Local-CLGChar"/>
    <w:uiPriority w:val="99"/>
    <w:rsid w:val="008355FB"/>
    <w:pPr>
      <w:spacing w:before="960" w:after="720"/>
      <w:ind w:firstLine="2520"/>
      <w:jc w:val="both"/>
    </w:pPr>
    <w:rPr>
      <w:sz w:val="28"/>
      <w:szCs w:val="20"/>
    </w:rPr>
  </w:style>
  <w:style w:type="paragraph" w:customStyle="1" w:styleId="11-Assinaturas-CLG">
    <w:name w:val="11 - Assinaturas - CLG"/>
    <w:link w:val="11-Assinaturas-CLGChar"/>
    <w:uiPriority w:val="99"/>
    <w:rsid w:val="008355FB"/>
    <w:pPr>
      <w:spacing w:after="960"/>
      <w:ind w:left="6240"/>
      <w:jc w:val="both"/>
    </w:pPr>
    <w:rPr>
      <w:sz w:val="28"/>
      <w:szCs w:val="20"/>
    </w:rPr>
  </w:style>
  <w:style w:type="character" w:customStyle="1" w:styleId="02-TtuloPrincipal-CLGChar">
    <w:name w:val="02 - Título Principal - CLG Char"/>
    <w:basedOn w:val="DefaultParagraphFont"/>
    <w:link w:val="02-TtuloPrincipal-CLG"/>
    <w:uiPriority w:val="99"/>
    <w:locked/>
    <w:rsid w:val="008355FB"/>
    <w:rPr>
      <w:rFonts w:cs="Times New Roman"/>
      <w:b/>
      <w:bCs/>
      <w:sz w:val="32"/>
      <w:lang w:val="pt-BR" w:eastAsia="pt-BR" w:bidi="ar-SA"/>
    </w:rPr>
  </w:style>
  <w:style w:type="character" w:customStyle="1" w:styleId="04-Relatoria-CLGChar">
    <w:name w:val="04 - Relatoria - CLG Char"/>
    <w:basedOn w:val="DefaultParagraphFont"/>
    <w:link w:val="04-Relatoria-CLG"/>
    <w:uiPriority w:val="99"/>
    <w:locked/>
    <w:rsid w:val="008355FB"/>
    <w:rPr>
      <w:rFonts w:cs="Times New Roman"/>
      <w:sz w:val="28"/>
      <w:lang w:val="pt-BR" w:eastAsia="pt-BR" w:bidi="ar-SA"/>
    </w:rPr>
  </w:style>
  <w:style w:type="character" w:customStyle="1" w:styleId="05-Subttulo-CLGChar">
    <w:name w:val="05 - Subtítulo - CLG Char"/>
    <w:basedOn w:val="DefaultParagraphFont"/>
    <w:link w:val="05-Subttulo-CLG"/>
    <w:uiPriority w:val="99"/>
    <w:locked/>
    <w:rsid w:val="008355FB"/>
    <w:rPr>
      <w:rFonts w:cs="Times New Roman"/>
      <w:b/>
      <w:bCs/>
      <w:sz w:val="28"/>
      <w:lang w:val="pt-BR" w:eastAsia="pt-BR" w:bidi="ar-SA"/>
    </w:rPr>
  </w:style>
  <w:style w:type="character" w:customStyle="1" w:styleId="06-Pargrafodetexto-CLGChar">
    <w:name w:val="06 - Parágrafo de texto - CLG Char"/>
    <w:basedOn w:val="DefaultParagraphFont"/>
    <w:link w:val="06-Pargrafodetexto-CLG"/>
    <w:uiPriority w:val="99"/>
    <w:locked/>
    <w:rsid w:val="008355FB"/>
    <w:rPr>
      <w:rFonts w:cs="Times New Roman"/>
      <w:sz w:val="28"/>
      <w:lang w:val="pt-BR" w:eastAsia="pt-BR" w:bidi="ar-SA"/>
    </w:rPr>
  </w:style>
  <w:style w:type="character" w:customStyle="1" w:styleId="10-Local-CLGChar">
    <w:name w:val="10 - Local - CLG Char"/>
    <w:basedOn w:val="DefaultParagraphFont"/>
    <w:link w:val="10-Local-CLG"/>
    <w:uiPriority w:val="99"/>
    <w:locked/>
    <w:rsid w:val="008355FB"/>
    <w:rPr>
      <w:rFonts w:cs="Times New Roman"/>
      <w:sz w:val="28"/>
      <w:lang w:val="pt-BR" w:eastAsia="pt-BR" w:bidi="ar-SA"/>
    </w:rPr>
  </w:style>
  <w:style w:type="character" w:customStyle="1" w:styleId="11-Assinaturas-CLGChar">
    <w:name w:val="11 - Assinaturas - CLG Char"/>
    <w:basedOn w:val="DefaultParagraphFont"/>
    <w:link w:val="11-Assinaturas-CLG"/>
    <w:uiPriority w:val="99"/>
    <w:locked/>
    <w:rsid w:val="008355FB"/>
    <w:rPr>
      <w:rFonts w:cs="Times New Roman"/>
      <w:sz w:val="28"/>
      <w:lang w:val="pt-BR" w:eastAsia="pt-BR" w:bidi="ar-SA"/>
    </w:rPr>
  </w:style>
  <w:style w:type="paragraph" w:customStyle="1" w:styleId="07-Citaolegal-CLG">
    <w:name w:val="07 - Citação legal - CLG"/>
    <w:uiPriority w:val="99"/>
    <w:rsid w:val="008355FB"/>
    <w:pPr>
      <w:spacing w:after="120"/>
      <w:ind w:left="1985" w:firstLine="567"/>
      <w:jc w:val="both"/>
    </w:pPr>
    <w:rPr>
      <w:bCs/>
      <w:sz w:val="24"/>
      <w:szCs w:val="20"/>
    </w:rPr>
  </w:style>
  <w:style w:type="paragraph" w:customStyle="1" w:styleId="08-Citaolegal-ltimalinha-CLG">
    <w:name w:val="08 - Citação legal - última linha - CLG"/>
    <w:uiPriority w:val="99"/>
    <w:rsid w:val="008355FB"/>
    <w:pPr>
      <w:spacing w:after="480"/>
      <w:ind w:left="1985" w:firstLine="567"/>
      <w:jc w:val="both"/>
    </w:pPr>
    <w:rPr>
      <w:sz w:val="24"/>
      <w:szCs w:val="20"/>
    </w:rPr>
  </w:style>
  <w:style w:type="paragraph" w:customStyle="1" w:styleId="09-Ttuloemenda-CLG">
    <w:name w:val="09 - Título emenda - CLG"/>
    <w:uiPriority w:val="99"/>
    <w:rsid w:val="008355FB"/>
    <w:pPr>
      <w:spacing w:before="480" w:after="360"/>
      <w:jc w:val="center"/>
    </w:pPr>
    <w:rPr>
      <w:b/>
      <w:bCs/>
      <w:spacing w:val="-4"/>
      <w:sz w:val="28"/>
      <w:szCs w:val="20"/>
    </w:rPr>
  </w:style>
  <w:style w:type="paragraph" w:styleId="BalloonText">
    <w:name w:val="Balloon Text"/>
    <w:basedOn w:val="Normal"/>
    <w:link w:val="BalloonTextChar"/>
    <w:uiPriority w:val="99"/>
    <w:rsid w:val="00F272D5"/>
    <w:rPr>
      <w:rFonts w:ascii="Tahoma" w:hAnsi="Tahoma" w:cs="Tahoma"/>
      <w:sz w:val="16"/>
      <w:szCs w:val="16"/>
    </w:rPr>
  </w:style>
  <w:style w:type="character" w:customStyle="1" w:styleId="BalloonTextChar">
    <w:name w:val="Balloon Text Char"/>
    <w:basedOn w:val="DefaultParagraphFont"/>
    <w:link w:val="BalloonText"/>
    <w:uiPriority w:val="99"/>
    <w:locked/>
    <w:rsid w:val="00F272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690</Words>
  <Characters>3731</Characters>
  <Application>Microsoft Office Outlook</Application>
  <DocSecurity>0</DocSecurity>
  <Lines>0</Lines>
  <Paragraphs>0</Paragraphs>
  <ScaleCrop>false</ScaleCrop>
  <Company>Senado Federal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subject/>
  <dc:creator>cbsantos</dc:creator>
  <cp:keywords/>
  <dc:description/>
  <cp:lastModifiedBy>MD1385</cp:lastModifiedBy>
  <cp:revision>3</cp:revision>
  <dcterms:created xsi:type="dcterms:W3CDTF">2014-04-08T15:39:00Z</dcterms:created>
  <dcterms:modified xsi:type="dcterms:W3CDTF">2014-04-08T15:40:00Z</dcterms:modified>
</cp:coreProperties>
</file>