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7CC" w:rsidRPr="00E0153A" w:rsidRDefault="00E837CC" w:rsidP="00E55FCF">
      <w:pPr>
        <w:pStyle w:val="02-TtuloPrincipal-CLG"/>
        <w:spacing w:after="560"/>
        <w:jc w:val="both"/>
      </w:pPr>
      <w:bookmarkStart w:id="0" w:name="_GoBack"/>
      <w:bookmarkEnd w:id="0"/>
      <w:r w:rsidRPr="00E0153A">
        <w:t>PARECER DO RELATOR DA COMISSÃO MISTA DESTINADA A APRECIAR A MEDIDA PROVISÓRIA Nº 6</w:t>
      </w:r>
      <w:r w:rsidR="00E653CC">
        <w:t>9</w:t>
      </w:r>
      <w:r w:rsidR="008A509C">
        <w:t>5</w:t>
      </w:r>
      <w:r w:rsidRPr="00E0153A">
        <w:t xml:space="preserve">, DE </w:t>
      </w:r>
      <w:r w:rsidR="00E653CC">
        <w:t>2 DE OUTUBRO DE 2015</w:t>
      </w:r>
    </w:p>
    <w:p w:rsidR="00E837CC" w:rsidRPr="00E0153A" w:rsidRDefault="00E837CC" w:rsidP="00E837CC">
      <w:pPr>
        <w:pStyle w:val="02-TtuloPrincipal-CLG"/>
        <w:jc w:val="both"/>
      </w:pPr>
    </w:p>
    <w:p w:rsidR="00E837CC" w:rsidRDefault="000E3E77" w:rsidP="00E837CC">
      <w:pPr>
        <w:pStyle w:val="02-TtuloPrincipal-CLG"/>
      </w:pPr>
      <w:r w:rsidRPr="00E0153A">
        <w:t>MEDIDA PROVISÓRIA Nº 6</w:t>
      </w:r>
      <w:r>
        <w:t>9</w:t>
      </w:r>
      <w:r w:rsidR="008A509C">
        <w:t>5</w:t>
      </w:r>
      <w:r w:rsidRPr="00E0153A">
        <w:t xml:space="preserve">, DE </w:t>
      </w:r>
      <w:r>
        <w:t>2 DE OUTUBRO DE 2015</w:t>
      </w:r>
    </w:p>
    <w:p w:rsidR="000E3E77" w:rsidRDefault="008A509C" w:rsidP="008A509C">
      <w:pPr>
        <w:pStyle w:val="04-Relatoria-CLG"/>
        <w:spacing w:after="640"/>
        <w:ind w:left="3540"/>
        <w:jc w:val="both"/>
      </w:pPr>
      <w:r>
        <w:t>Autoriza o Banco do Brasil S.A. e a Caixa Econômica Federal a adquirirem participação nos termos e condições previstos no art. 2º da Lei nº 11.908, de 3 de março de 2009, e dá outras providências.</w:t>
      </w:r>
    </w:p>
    <w:p w:rsidR="000E3E77" w:rsidRPr="00A324F9" w:rsidRDefault="000E3E77" w:rsidP="008A509C">
      <w:pPr>
        <w:pStyle w:val="04-Relatoria-CLG"/>
      </w:pPr>
      <w:r w:rsidRPr="00A324F9">
        <w:t xml:space="preserve">RELATOR: </w:t>
      </w:r>
      <w:r w:rsidR="008A509C">
        <w:t xml:space="preserve">Deputado </w:t>
      </w:r>
      <w:r w:rsidR="008A509C" w:rsidRPr="008A509C">
        <w:rPr>
          <w:b/>
        </w:rPr>
        <w:t>SÁGUAS MORAES</w:t>
      </w:r>
    </w:p>
    <w:p w:rsidR="00E837CC" w:rsidRPr="00137E59" w:rsidRDefault="00E837CC" w:rsidP="00E55FCF">
      <w:pPr>
        <w:pStyle w:val="04-Relatoria-CLG"/>
        <w:spacing w:after="840"/>
        <w:ind w:left="0"/>
        <w:jc w:val="center"/>
        <w:rPr>
          <w:b/>
          <w:sz w:val="40"/>
          <w:szCs w:val="32"/>
        </w:rPr>
      </w:pPr>
      <w:r w:rsidRPr="00137E59">
        <w:rPr>
          <w:b/>
          <w:sz w:val="40"/>
          <w:szCs w:val="32"/>
        </w:rPr>
        <w:t>ERRATA</w:t>
      </w:r>
    </w:p>
    <w:p w:rsidR="00E837CC" w:rsidRDefault="00707C53" w:rsidP="00E837CC">
      <w:pPr>
        <w:pStyle w:val="04-PargrafodetextoEstudoNotas-CLG"/>
        <w:spacing w:after="240" w:line="240" w:lineRule="auto"/>
      </w:pPr>
      <w:r>
        <w:t>No dia</w:t>
      </w:r>
      <w:r w:rsidR="00E837CC" w:rsidRPr="00E0153A">
        <w:t xml:space="preserve"> </w:t>
      </w:r>
      <w:r w:rsidR="000E3E77">
        <w:t>25 de novembro de 2015</w:t>
      </w:r>
      <w:r w:rsidR="00E837CC" w:rsidRPr="00E0153A">
        <w:t xml:space="preserve">, </w:t>
      </w:r>
      <w:r>
        <w:t>foi apresentado</w:t>
      </w:r>
      <w:r w:rsidR="00E837CC" w:rsidRPr="00E0153A">
        <w:t xml:space="preserve"> a esta</w:t>
      </w:r>
      <w:r>
        <w:t xml:space="preserve"> </w:t>
      </w:r>
      <w:r w:rsidR="000E3E77">
        <w:t>Douta Comi</w:t>
      </w:r>
      <w:r w:rsidR="00E837CC" w:rsidRPr="00E0153A">
        <w:t>ssão Mista parecer fav</w:t>
      </w:r>
      <w:r w:rsidR="000E3E77">
        <w:t>orável à Medida Provisória nº 69</w:t>
      </w:r>
      <w:r w:rsidR="008A509C">
        <w:t>5</w:t>
      </w:r>
      <w:r w:rsidR="00E837CC" w:rsidRPr="00E0153A">
        <w:t xml:space="preserve">, de </w:t>
      </w:r>
      <w:r w:rsidR="000E3E77">
        <w:t>2 de outubro de 2015,</w:t>
      </w:r>
      <w:r w:rsidR="00E837CC" w:rsidRPr="00E0153A">
        <w:t xml:space="preserve"> </w:t>
      </w:r>
      <w:r>
        <w:t>cujos termos</w:t>
      </w:r>
      <w:r w:rsidR="002148BE">
        <w:t xml:space="preserve"> submetemos</w:t>
      </w:r>
      <w:r w:rsidR="00E837CC" w:rsidRPr="00E0153A">
        <w:t xml:space="preserve"> à consideração dos seus membros.</w:t>
      </w:r>
    </w:p>
    <w:p w:rsidR="008A509C" w:rsidRDefault="00F644D0" w:rsidP="00E837CC">
      <w:pPr>
        <w:pStyle w:val="04-PargrafodetextoEstudoNotas-CLG"/>
        <w:spacing w:after="240" w:line="240" w:lineRule="auto"/>
      </w:pPr>
      <w:r>
        <w:t>Concluí</w:t>
      </w:r>
      <w:r w:rsidR="008A509C">
        <w:t>amos, naquela ocasião, no mérito, pela aprovação da Medida Provisória nº 695, de 2015, na forma como proposta pelo Poder Executivo, e pela rejeição das vinte e seis emendas a ela apresentadas.</w:t>
      </w:r>
    </w:p>
    <w:p w:rsidR="008A509C" w:rsidRDefault="000E3E77" w:rsidP="00E837CC">
      <w:pPr>
        <w:pStyle w:val="04-PargrafodetextoEstudoNotas-CLG"/>
        <w:spacing w:after="240" w:line="240" w:lineRule="auto"/>
      </w:pPr>
      <w:r>
        <w:lastRenderedPageBreak/>
        <w:t xml:space="preserve">Contudo, desde </w:t>
      </w:r>
      <w:r w:rsidR="008A509C">
        <w:t>então</w:t>
      </w:r>
      <w:r>
        <w:t>, em diálogo com o Poder Executivo</w:t>
      </w:r>
      <w:r w:rsidR="008A509C">
        <w:t xml:space="preserve"> e com os Nobres Pares membros do Congresso Nacional, reexaminamos </w:t>
      </w:r>
      <w:r>
        <w:t xml:space="preserve">algumas das questões </w:t>
      </w:r>
      <w:r w:rsidR="008A509C">
        <w:t>que nos foram apresentadas</w:t>
      </w:r>
      <w:r>
        <w:t xml:space="preserve">, </w:t>
      </w:r>
      <w:r w:rsidR="008A509C">
        <w:t xml:space="preserve">e </w:t>
      </w:r>
      <w:r>
        <w:t xml:space="preserve">verificamos ser necessário promover </w:t>
      </w:r>
      <w:r w:rsidR="008A509C">
        <w:t xml:space="preserve">ajustes ao Parecer, na forma da presente Errata, concluindo, assim, em face do que estabelece a Resolução nº 1-CN, de 2002, pela apresentação de um </w:t>
      </w:r>
      <w:r w:rsidR="00E837CC" w:rsidRPr="00E0153A">
        <w:t>p</w:t>
      </w:r>
      <w:r w:rsidR="00707C53">
        <w:t>rojeto de lei de conversão</w:t>
      </w:r>
      <w:r w:rsidR="008A509C">
        <w:t>, que ora submetemos aos membros desta Comissão.</w:t>
      </w:r>
    </w:p>
    <w:p w:rsidR="00EE4767" w:rsidRPr="0032605C" w:rsidRDefault="00707C53" w:rsidP="008A509C">
      <w:pPr>
        <w:pStyle w:val="04-PargrafodetextoEstudoNotas-CLG"/>
        <w:spacing w:after="240" w:line="240" w:lineRule="auto"/>
      </w:pPr>
      <w:r>
        <w:t xml:space="preserve"> </w:t>
      </w:r>
      <w:r w:rsidR="00EE4767" w:rsidRPr="0032605C">
        <w:t xml:space="preserve">Trata-se, precisamente, de </w:t>
      </w:r>
      <w:r w:rsidR="00F644D0">
        <w:t xml:space="preserve">três </w:t>
      </w:r>
      <w:r w:rsidR="00EE4767" w:rsidRPr="0032605C">
        <w:t>questões que requerem tais ajustes:</w:t>
      </w:r>
    </w:p>
    <w:p w:rsidR="00A63B1E" w:rsidRPr="00F644D0" w:rsidRDefault="00EE4767" w:rsidP="00EE4767">
      <w:pPr>
        <w:pStyle w:val="05-Pargrafodetexto-CLG"/>
        <w:numPr>
          <w:ilvl w:val="0"/>
          <w:numId w:val="6"/>
        </w:numPr>
        <w:spacing w:after="240"/>
      </w:pPr>
      <w:r w:rsidRPr="00F644D0">
        <w:t xml:space="preserve">No tocante </w:t>
      </w:r>
      <w:r w:rsidR="0032605C" w:rsidRPr="00F644D0">
        <w:t xml:space="preserve">à redação proposta ao </w:t>
      </w:r>
      <w:r w:rsidRPr="00F644D0">
        <w:t xml:space="preserve">art. </w:t>
      </w:r>
      <w:r w:rsidR="00A63B1E" w:rsidRPr="00F644D0">
        <w:t>1º:</w:t>
      </w:r>
    </w:p>
    <w:p w:rsidR="00A63B1E" w:rsidRDefault="00A63B1E" w:rsidP="0032605C">
      <w:pPr>
        <w:pStyle w:val="05-Pargrafodetexto-CLG"/>
        <w:spacing w:after="240"/>
        <w:ind w:left="1778" w:firstLine="0"/>
      </w:pPr>
      <w:r w:rsidRPr="00A63B1E">
        <w:t xml:space="preserve">A redação </w:t>
      </w:r>
      <w:r>
        <w:t>dada ao art. 1º pela Medida Provisória contempla, objetivamente, a hipótese de que o Banco do Brasil S.A. e a Caixa Econômica Federal, diretamente ou por intermédio de suas subsidiárias, possam adquirir participação nos termos e condiçõe</w:t>
      </w:r>
      <w:r w:rsidR="00F644D0">
        <w:t>s previstos no art. 2º da Lei nº</w:t>
      </w:r>
      <w:r>
        <w:t xml:space="preserve"> 11.908, de 3 de março de 2009</w:t>
      </w:r>
      <w:r w:rsidR="00F644D0">
        <w:t>, até 31 de dezembro de 2018</w:t>
      </w:r>
      <w:r>
        <w:t xml:space="preserve">. </w:t>
      </w:r>
    </w:p>
    <w:p w:rsidR="00F644D0" w:rsidRDefault="00A63B1E" w:rsidP="0032605C">
      <w:pPr>
        <w:pStyle w:val="05-Pargrafodetexto-CLG"/>
        <w:spacing w:after="240"/>
        <w:ind w:left="1778" w:firstLine="0"/>
      </w:pPr>
      <w:r>
        <w:t>A essa previsão, contudo,  mostra-se necessário agregar, em consonância com o que já prevê o art. 1º da Lei nº 11</w:t>
      </w:r>
      <w:r w:rsidR="00F153A3">
        <w:t>.</w:t>
      </w:r>
      <w:r>
        <w:t xml:space="preserve">908, a possibilidade de que, além de adquirirem participações em empresas, nos termos e condições previstas naquela Lei, as </w:t>
      </w:r>
      <w:r w:rsidR="00F644D0">
        <w:t xml:space="preserve">suas </w:t>
      </w:r>
      <w:r>
        <w:t xml:space="preserve">subsidiárias possam, assim como a controladora, igualmente constituir subsidiárias integrais ou controladas, visto serem essas </w:t>
      </w:r>
      <w:r w:rsidR="00F153A3">
        <w:t>subsidiárias</w:t>
      </w:r>
      <w:r>
        <w:t xml:space="preserve">, igualmente, empresas estatais, para todos os fins. </w:t>
      </w:r>
    </w:p>
    <w:p w:rsidR="00F644D0" w:rsidRDefault="00A63B1E" w:rsidP="0032605C">
      <w:pPr>
        <w:pStyle w:val="05-Pargrafodetexto-CLG"/>
        <w:spacing w:after="240"/>
        <w:ind w:left="1778" w:firstLine="0"/>
      </w:pPr>
      <w:r>
        <w:t xml:space="preserve">A autorização limitada apenas ao Banco do Brasil ou à CEF, como controladoras “holding”, apenas teria como efeito elevar o número de subsidiárias a elas diretamente vinculadas, sem impedir, na prática, a criação de novas sociedades, controladas ou não. </w:t>
      </w:r>
    </w:p>
    <w:p w:rsidR="007424CC" w:rsidRDefault="00A63B1E" w:rsidP="0032605C">
      <w:pPr>
        <w:pStyle w:val="05-Pargrafodetexto-CLG"/>
        <w:spacing w:after="240"/>
        <w:ind w:left="1778" w:firstLine="0"/>
      </w:pPr>
      <w:r>
        <w:t xml:space="preserve">Além disso, mostra-se necessário, para evitar conflitos interpretativos, explicitar a possiblidade que subsidiárias ou empresas controladas no ramo de tecnologia da informação </w:t>
      </w:r>
      <w:r>
        <w:lastRenderedPageBreak/>
        <w:t>– que é parte, acessórias, mas igualmente estratégica de sua atuação – possam ser constituídas</w:t>
      </w:r>
      <w:r w:rsidR="007424CC">
        <w:t xml:space="preserve">. </w:t>
      </w:r>
    </w:p>
    <w:p w:rsidR="00A63B1E" w:rsidRDefault="007424CC" w:rsidP="0032605C">
      <w:pPr>
        <w:pStyle w:val="05-Pargrafodetexto-CLG"/>
        <w:spacing w:after="240"/>
        <w:ind w:left="1778" w:firstLine="0"/>
      </w:pPr>
      <w:r>
        <w:t xml:space="preserve">E, ademais, em favor da racionalidade e eficiência administrativa, contemplada no “caput” do art. 37 da Constituição, deve ser permitida a contratação dessas subsidiárias e controladas, pelas controladoras, com dispensa de licitação, desde que o preço contratado seja compatível com o praticado no mercado. Trata-se de solução já prevista no art. 24, XXIII da Lei nº 8.666, de 1993, e que, no caso em tela, se remete igualmente às subsidiárias que venham a ser instituídas com fundamento no “caput” do art. 1º. </w:t>
      </w:r>
    </w:p>
    <w:p w:rsidR="007424CC" w:rsidRDefault="00EE4767" w:rsidP="0032605C">
      <w:pPr>
        <w:pStyle w:val="05-Pargrafodetexto-CLG"/>
        <w:spacing w:after="240"/>
        <w:ind w:left="1778" w:firstLine="0"/>
      </w:pPr>
      <w:r>
        <w:t xml:space="preserve">Assim, </w:t>
      </w:r>
      <w:r w:rsidR="007424CC">
        <w:t>propomos a seguinte redação ao art. 1º:</w:t>
      </w:r>
    </w:p>
    <w:p w:rsidR="007424CC" w:rsidRDefault="007424CC" w:rsidP="009D66FE">
      <w:pPr>
        <w:pStyle w:val="05-Pargrafodetexto-CLG"/>
        <w:spacing w:after="240"/>
        <w:ind w:left="1778" w:firstLine="0"/>
      </w:pPr>
      <w:r>
        <w:t xml:space="preserve"> </w:t>
      </w:r>
      <w:r w:rsidR="0032605C">
        <w:t>“</w:t>
      </w:r>
      <w:r w:rsidR="00EE4767" w:rsidRPr="009D66FE">
        <w:t xml:space="preserve">Art. </w:t>
      </w:r>
      <w:r>
        <w:t>1º O Banco do Brasil S.A. e a Caixa Econômica Federal, diretamente ou por intermédio de suas subsidiárias, poderão constituir ou adquirir participação em empresas, inclusive no ramo de tecnologia da informação, nos termos e condições previstos no art. 2º da Lei n</w:t>
      </w:r>
      <w:r w:rsidR="00F153A3">
        <w:t>º</w:t>
      </w:r>
      <w:r>
        <w:t xml:space="preserve"> 11.908, de 3 de março de 2009. </w:t>
      </w:r>
    </w:p>
    <w:p w:rsidR="007424CC" w:rsidRDefault="007424CC" w:rsidP="009D66FE">
      <w:pPr>
        <w:pStyle w:val="05-Pargrafodetexto-CLG"/>
        <w:spacing w:after="240"/>
        <w:ind w:left="1778" w:firstLine="0"/>
      </w:pPr>
      <w:r>
        <w:t>§ 1º. A autorização prevista no caput é válida até 31 de dezembro de 2018.</w:t>
      </w:r>
    </w:p>
    <w:p w:rsidR="007424CC" w:rsidRPr="00A324F9" w:rsidRDefault="007424CC" w:rsidP="007424CC">
      <w:pPr>
        <w:pStyle w:val="05-Pargrafodetexto-CLG"/>
        <w:spacing w:after="240"/>
        <w:ind w:left="1778" w:firstLine="0"/>
      </w:pPr>
      <w:r w:rsidRPr="007424CC">
        <w:t>§</w:t>
      </w:r>
      <w:r w:rsidR="00F644D0">
        <w:t xml:space="preserve"> </w:t>
      </w:r>
      <w:r w:rsidRPr="007424CC">
        <w:t>2º É dispensável a licitação na contratação realizada pelo Bando do Brasil S.A</w:t>
      </w:r>
      <w:r w:rsidR="00F644D0">
        <w:t>.</w:t>
      </w:r>
      <w:r w:rsidRPr="007424CC">
        <w:t>, pela Caixa Econômica Federal, ou suas subsidiárias constituídas nos termos do “caput”, com suas subsidiárias e controladas, para a aquisição ou alienação de bens, prestação ou obtenção de serviços, desde que o preço contratado seja compatível com o praticado no mercado.”</w:t>
      </w:r>
      <w:r w:rsidR="00EE4767" w:rsidRPr="009D66FE">
        <w:t xml:space="preserve">  </w:t>
      </w:r>
    </w:p>
    <w:p w:rsidR="00F644D0" w:rsidRDefault="007424CC" w:rsidP="007424CC">
      <w:pPr>
        <w:pStyle w:val="05-Pargrafodetexto-CLG"/>
        <w:numPr>
          <w:ilvl w:val="0"/>
          <w:numId w:val="6"/>
        </w:numPr>
        <w:spacing w:after="240"/>
      </w:pPr>
      <w:r w:rsidRPr="00160282">
        <w:t xml:space="preserve">No que se refere à Lei nº 13.155, de 5 de agosto de 2015, que é objeto de alteração por meio da redação do art. 2º, entendemos ser de igual relevância e urgência, estando presente a pertinência temática, que seja desde logo adequado o prazo previsto no art. 9º daquela Lei. </w:t>
      </w:r>
    </w:p>
    <w:p w:rsidR="00F644D0" w:rsidRDefault="007424CC" w:rsidP="00F644D0">
      <w:pPr>
        <w:pStyle w:val="05-Pargrafodetexto-CLG"/>
        <w:spacing w:after="240"/>
        <w:ind w:left="1778" w:firstLine="0"/>
      </w:pPr>
      <w:r w:rsidRPr="00160282">
        <w:t xml:space="preserve">Segundo o referido art. 9º, o prazo para que </w:t>
      </w:r>
      <w:r w:rsidR="00F644D0">
        <w:t>a</w:t>
      </w:r>
      <w:r w:rsidRPr="00160282">
        <w:t xml:space="preserve">s entidades desportivas profissionais de futebol que aderirem ao Profut </w:t>
      </w:r>
      <w:r w:rsidR="00160282" w:rsidRPr="00160282">
        <w:t xml:space="preserve">requeiram o parcelamento de seus débitos com a </w:t>
      </w:r>
      <w:r w:rsidRPr="00160282">
        <w:t xml:space="preserve">Secretaria da Receita Federal do Brasil do Ministério da Fazenda, </w:t>
      </w:r>
      <w:r w:rsidR="00160282" w:rsidRPr="00160282">
        <w:t>a</w:t>
      </w:r>
      <w:r w:rsidRPr="00160282">
        <w:t xml:space="preserve"> Procuradoria-Geral da Fazenda Nacional e o Banco Central do Brasil, e </w:t>
      </w:r>
      <w:r w:rsidR="00160282" w:rsidRPr="00160282">
        <w:t xml:space="preserve">ainda com o </w:t>
      </w:r>
      <w:r w:rsidRPr="00160282">
        <w:t>Ministério do Trabalho e Emprego</w:t>
      </w:r>
      <w:r w:rsidR="00160282" w:rsidRPr="00160282">
        <w:t>, encerrou-se no último dia útil do terceiro mês subsequente ao da sua publicação, ou seja, no dia 30 de novembro de 2015.</w:t>
      </w:r>
    </w:p>
    <w:p w:rsidR="00F644D0" w:rsidRDefault="00160282" w:rsidP="00F644D0">
      <w:pPr>
        <w:pStyle w:val="05-Pargrafodetexto-CLG"/>
        <w:spacing w:after="240"/>
        <w:ind w:left="1778" w:firstLine="0"/>
      </w:pPr>
      <w:r w:rsidRPr="00160282">
        <w:t xml:space="preserve">Contudo, diversas entidades, por razões diversas, não lograram atender ao prazo, de forma que, para que possam ser beneficiados pelo referido parcelamento, torna-se mister reabri-lo, a fim de que os objetivos da Lei nº 13.155, de 2015, sejam alcançados. </w:t>
      </w:r>
    </w:p>
    <w:p w:rsidR="00160282" w:rsidRPr="00160282" w:rsidRDefault="00160282" w:rsidP="00F644D0">
      <w:pPr>
        <w:pStyle w:val="05-Pargrafodetexto-CLG"/>
        <w:spacing w:after="240"/>
        <w:ind w:left="1778" w:firstLine="0"/>
      </w:pPr>
      <w:r w:rsidRPr="00160282">
        <w:t>Assim, propomos a inclusão no PLV do seguinte artigo 3º:</w:t>
      </w:r>
    </w:p>
    <w:p w:rsidR="00160282" w:rsidRDefault="00160282" w:rsidP="00160282">
      <w:pPr>
        <w:pStyle w:val="05-Pargrafodetexto-CLG"/>
        <w:spacing w:after="240"/>
        <w:ind w:left="1778" w:firstLine="0"/>
        <w:rPr>
          <w:b/>
        </w:rPr>
      </w:pPr>
      <w:r>
        <w:rPr>
          <w:b/>
        </w:rPr>
        <w:t>“Art. 3º. O prazo previsto no art. 9º da Lei nº 13.155, de 5 de agosto de 2015, fica reaberto, a partir da data da publicação desta Lei, até 31 de julho de 2016.”</w:t>
      </w:r>
    </w:p>
    <w:p w:rsidR="00F644D0" w:rsidRDefault="00160282" w:rsidP="00B93379">
      <w:pPr>
        <w:pStyle w:val="05-Pargrafodetexto-CLG"/>
        <w:numPr>
          <w:ilvl w:val="0"/>
          <w:numId w:val="6"/>
        </w:numPr>
        <w:spacing w:after="240"/>
      </w:pPr>
      <w:r w:rsidRPr="00160282">
        <w:t xml:space="preserve">Finalmente, também em consonância com o desiderato original da Medida Provisória de dar melhores condições para que as entidades esportivas do futebol possam superar a crise em que se encontram, aderindo ao PROFUT, mas reconhecendo que a Lei, ao entrar em vigor, deve propiciar tempo hábil para o cumprimento de seus requisitos, consideramos que a exigência de cumprimento das cláusulas de regularidade fiscal e saldamento de dívidas, estabelecidas como “critérios técnicos” para que as entidades possam participar de competições, devam ser aplicados e exigidos apenas a partir das competições que tiverem início a partir de 1º de março de 2016. </w:t>
      </w:r>
    </w:p>
    <w:p w:rsidR="00F644D0" w:rsidRDefault="00160282" w:rsidP="00F644D0">
      <w:pPr>
        <w:pStyle w:val="05-Pargrafodetexto-CLG"/>
        <w:spacing w:after="240"/>
        <w:ind w:left="1778" w:firstLine="0"/>
      </w:pPr>
      <w:r>
        <w:t xml:space="preserve">Visto que a as dificuldades para a conclusão do processo de renegociação de dívidas podem acarretar a necessidade de prazos maiores do que os previstos originalmente pelo legislador, </w:t>
      </w:r>
      <w:r w:rsidR="005C49D7">
        <w:t xml:space="preserve">como já demonstrado, é igualmente importante que as entidades não sejam imediatamente impedidas de participar de competições, o que somente agravaria a sua situação. </w:t>
      </w:r>
    </w:p>
    <w:p w:rsidR="00160282" w:rsidRDefault="005C49D7" w:rsidP="00F644D0">
      <w:pPr>
        <w:pStyle w:val="05-Pargrafodetexto-CLG"/>
        <w:spacing w:after="240"/>
        <w:ind w:left="1778" w:firstLine="0"/>
      </w:pPr>
      <w:r>
        <w:t>Assim, presentes a urgência e relevância e a pertinência temática, propomos a inclusão do seguinte art. 4º:</w:t>
      </w:r>
    </w:p>
    <w:p w:rsidR="005C49D7" w:rsidRDefault="005C49D7" w:rsidP="005C49D7">
      <w:pPr>
        <w:pStyle w:val="05-Pargrafodetexto-CLG"/>
        <w:spacing w:after="240"/>
        <w:ind w:left="1778" w:firstLine="0"/>
      </w:pPr>
      <w:r>
        <w:t>“Art. 4º. O disposto no inciso II do § 1º e no art. 3º do art. 10 da lei nº 10.671, de 15 de maio de 2003, com a redação dada pelo art. 40 da Lei nº 13.155 , de 2015, será exigível nas competições que tiverem início a partir de 1º de março de 2016.”</w:t>
      </w:r>
    </w:p>
    <w:p w:rsidR="00F54B4C" w:rsidRPr="00F54B4C" w:rsidRDefault="00F54B4C" w:rsidP="00F54B4C">
      <w:pPr>
        <w:pStyle w:val="05-Pargrafodetexto-CLG"/>
        <w:spacing w:after="240"/>
        <w:ind w:left="1418" w:firstLine="0"/>
      </w:pPr>
      <w:r>
        <w:rPr>
          <w:b/>
        </w:rPr>
        <w:t>A</w:t>
      </w:r>
      <w:r w:rsidR="000E3E77">
        <w:rPr>
          <w:b/>
        </w:rPr>
        <w:t>ssim</w:t>
      </w:r>
    </w:p>
    <w:p w:rsidR="005C49D7" w:rsidRDefault="00F54B4C" w:rsidP="00F54B4C">
      <w:pPr>
        <w:pStyle w:val="05-Pargrafodetexto-CLG"/>
        <w:spacing w:after="240"/>
        <w:ind w:left="1418" w:firstLine="0"/>
        <w:rPr>
          <w:b/>
        </w:rPr>
      </w:pPr>
      <w:r w:rsidRPr="004035C4">
        <w:rPr>
          <w:b/>
        </w:rPr>
        <w:t xml:space="preserve">I </w:t>
      </w:r>
      <w:r w:rsidR="005C49D7">
        <w:rPr>
          <w:b/>
        </w:rPr>
        <w:t>–</w:t>
      </w:r>
      <w:r w:rsidRPr="004035C4">
        <w:rPr>
          <w:b/>
        </w:rPr>
        <w:t xml:space="preserve"> </w:t>
      </w:r>
      <w:r w:rsidR="000E3E77" w:rsidRPr="004035C4">
        <w:rPr>
          <w:b/>
        </w:rPr>
        <w:t>n</w:t>
      </w:r>
      <w:r w:rsidR="005C49D7">
        <w:rPr>
          <w:b/>
        </w:rPr>
        <w:t>a CONCLUSÃO</w:t>
      </w:r>
      <w:r w:rsidR="00E837CC" w:rsidRPr="004035C4">
        <w:rPr>
          <w:b/>
        </w:rPr>
        <w:t xml:space="preserve">, </w:t>
      </w:r>
      <w:r w:rsidR="005C49D7">
        <w:rPr>
          <w:b/>
        </w:rPr>
        <w:t>altere-se o seguinte parágrafo, na forma a seguir:</w:t>
      </w:r>
    </w:p>
    <w:p w:rsidR="005C49D7" w:rsidRDefault="005C49D7" w:rsidP="00F54B4C">
      <w:pPr>
        <w:pStyle w:val="05-Pargrafodetexto-CLG"/>
        <w:spacing w:after="240"/>
        <w:ind w:left="1418" w:firstLine="0"/>
        <w:rPr>
          <w:b/>
        </w:rPr>
      </w:pPr>
      <w:r>
        <w:rPr>
          <w:b/>
        </w:rPr>
        <w:t>De:</w:t>
      </w:r>
    </w:p>
    <w:p w:rsidR="005C49D7" w:rsidRPr="00F644D0" w:rsidRDefault="005C49D7" w:rsidP="00F54B4C">
      <w:pPr>
        <w:pStyle w:val="05-Pargrafodetexto-CLG"/>
        <w:spacing w:after="240"/>
        <w:ind w:left="1418" w:firstLine="0"/>
      </w:pPr>
      <w:r w:rsidRPr="00F644D0">
        <w:t>“Por isso, entendemos que a Medida Provisória em apreço deva ser aprovada, como originalmente proposta pela Excelentíssima Senhora Presidenta da República,”</w:t>
      </w:r>
    </w:p>
    <w:p w:rsidR="00750CCA" w:rsidRDefault="005C49D7" w:rsidP="00F54B4C">
      <w:pPr>
        <w:pStyle w:val="05-Pargrafodetexto-CLG"/>
        <w:spacing w:after="240"/>
        <w:ind w:left="1418" w:firstLine="0"/>
        <w:rPr>
          <w:b/>
        </w:rPr>
      </w:pPr>
      <w:r>
        <w:rPr>
          <w:b/>
        </w:rPr>
        <w:t xml:space="preserve">Para: </w:t>
      </w:r>
    </w:p>
    <w:p w:rsidR="005C49D7" w:rsidRPr="00F644D0" w:rsidRDefault="005C49D7" w:rsidP="005C49D7">
      <w:pPr>
        <w:pStyle w:val="05-Pargrafodetexto-CLG"/>
        <w:spacing w:after="240"/>
        <w:ind w:left="1418" w:firstLine="0"/>
      </w:pPr>
      <w:r w:rsidRPr="00F644D0">
        <w:t>“Por isso, ressalvados os ajustes promovidos na forma do Projeto de Lei de Conversão, entendemos que a Medida Provisória em apreço deva ser aprovada, como proposta pela Excelentíssima Senhora Presidenta da República,”</w:t>
      </w:r>
    </w:p>
    <w:p w:rsidR="005C49D7" w:rsidRDefault="005C49D7" w:rsidP="00F54B4C">
      <w:pPr>
        <w:pStyle w:val="05-Pargrafodetexto-CLG"/>
        <w:spacing w:after="240"/>
        <w:ind w:left="1418" w:firstLine="0"/>
        <w:rPr>
          <w:b/>
        </w:rPr>
      </w:pPr>
      <w:r>
        <w:rPr>
          <w:b/>
        </w:rPr>
        <w:t>II – no VOTO</w:t>
      </w:r>
      <w:r w:rsidR="00F644D0">
        <w:rPr>
          <w:b/>
        </w:rPr>
        <w:t xml:space="preserve">, </w:t>
      </w:r>
      <w:r>
        <w:rPr>
          <w:b/>
        </w:rPr>
        <w:t>altere-se o item VIII, na forma a seguir”</w:t>
      </w:r>
    </w:p>
    <w:p w:rsidR="005C49D7" w:rsidRPr="00F644D0" w:rsidRDefault="005C49D7" w:rsidP="00F54B4C">
      <w:pPr>
        <w:pStyle w:val="05-Pargrafodetexto-CLG"/>
        <w:spacing w:after="240"/>
        <w:ind w:left="1418" w:firstLine="0"/>
      </w:pPr>
      <w:r w:rsidRPr="00F644D0">
        <w:t>“VIII – no mérito, pela aprovação da Medida Provisória nº 695, de 2015, na forma do Projeto de Lei de Conversão, e pela rejeição das vinte e seis emendas a ela apresentadas”</w:t>
      </w:r>
    </w:p>
    <w:p w:rsidR="00DD378D" w:rsidRPr="005C49D7" w:rsidRDefault="005C49D7" w:rsidP="005C49D7">
      <w:pPr>
        <w:pStyle w:val="05-Pargrafodetexto-CLG"/>
        <w:spacing w:after="240"/>
        <w:ind w:left="1418" w:firstLine="0"/>
        <w:rPr>
          <w:b/>
        </w:rPr>
      </w:pPr>
      <w:r w:rsidRPr="005C49D7">
        <w:rPr>
          <w:b/>
        </w:rPr>
        <w:t xml:space="preserve">III – inclua-se, no Parecer, o seguinte Projeto </w:t>
      </w:r>
      <w:r>
        <w:rPr>
          <w:b/>
        </w:rPr>
        <w:t>de Lei de Co</w:t>
      </w:r>
      <w:r w:rsidRPr="005C49D7">
        <w:rPr>
          <w:b/>
        </w:rPr>
        <w:t>n</w:t>
      </w:r>
      <w:r>
        <w:rPr>
          <w:b/>
        </w:rPr>
        <w:t>v</w:t>
      </w:r>
      <w:r w:rsidRPr="005C49D7">
        <w:rPr>
          <w:b/>
        </w:rPr>
        <w:t>ersão</w:t>
      </w:r>
      <w:r w:rsidR="00F644D0">
        <w:rPr>
          <w:b/>
        </w:rPr>
        <w:t>:</w:t>
      </w:r>
    </w:p>
    <w:p w:rsidR="00F644D0" w:rsidRDefault="00F644D0" w:rsidP="00DD378D">
      <w:pPr>
        <w:spacing w:after="0"/>
        <w:jc w:val="center"/>
        <w:rPr>
          <w:rFonts w:ascii="Times New Roman" w:hAnsi="Times New Roman"/>
          <w:b/>
          <w:sz w:val="32"/>
        </w:rPr>
      </w:pPr>
    </w:p>
    <w:p w:rsidR="00DD378D" w:rsidRPr="00DD378D" w:rsidRDefault="00DD378D" w:rsidP="00DD378D">
      <w:pPr>
        <w:spacing w:after="0"/>
        <w:jc w:val="center"/>
        <w:rPr>
          <w:rFonts w:ascii="Times New Roman" w:hAnsi="Times New Roman"/>
          <w:b/>
          <w:sz w:val="32"/>
        </w:rPr>
      </w:pPr>
      <w:r w:rsidRPr="00DD378D">
        <w:rPr>
          <w:rFonts w:ascii="Times New Roman" w:hAnsi="Times New Roman"/>
          <w:b/>
          <w:sz w:val="32"/>
        </w:rPr>
        <w:t>PROJETO DE LEI DE CONVERSÃO</w:t>
      </w:r>
    </w:p>
    <w:p w:rsidR="00DD378D" w:rsidRPr="00DD378D" w:rsidRDefault="00DD378D" w:rsidP="00DD378D">
      <w:pPr>
        <w:tabs>
          <w:tab w:val="left" w:pos="0"/>
        </w:tabs>
        <w:jc w:val="center"/>
        <w:rPr>
          <w:rFonts w:ascii="Times New Roman" w:hAnsi="Times New Roman"/>
          <w:b/>
          <w:sz w:val="32"/>
        </w:rPr>
      </w:pPr>
      <w:r w:rsidRPr="00DD378D">
        <w:rPr>
          <w:rFonts w:ascii="Times New Roman" w:hAnsi="Times New Roman"/>
          <w:b/>
          <w:sz w:val="32"/>
        </w:rPr>
        <w:t>(à Medida Provisória nº 69</w:t>
      </w:r>
      <w:r w:rsidR="005C49D7">
        <w:rPr>
          <w:rFonts w:ascii="Times New Roman" w:hAnsi="Times New Roman"/>
          <w:b/>
          <w:sz w:val="32"/>
        </w:rPr>
        <w:t>5</w:t>
      </w:r>
      <w:r w:rsidRPr="00DD378D">
        <w:rPr>
          <w:rFonts w:ascii="Times New Roman" w:hAnsi="Times New Roman"/>
          <w:b/>
          <w:sz w:val="32"/>
        </w:rPr>
        <w:t>, de 2015)</w:t>
      </w:r>
    </w:p>
    <w:p w:rsidR="00DD378D" w:rsidRPr="00DD378D" w:rsidRDefault="00DD378D" w:rsidP="00DD378D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 New Roman" w:hAnsi="Times New Roman"/>
          <w:sz w:val="32"/>
        </w:rPr>
      </w:pPr>
    </w:p>
    <w:p w:rsidR="00DD378D" w:rsidRPr="00F644D0" w:rsidRDefault="005C49D7" w:rsidP="00F644D0">
      <w:pPr>
        <w:tabs>
          <w:tab w:val="left" w:pos="0"/>
        </w:tabs>
        <w:ind w:left="3540"/>
        <w:jc w:val="both"/>
        <w:rPr>
          <w:rFonts w:ascii="Times New Roman" w:hAnsi="Times New Roman"/>
          <w:sz w:val="28"/>
        </w:rPr>
      </w:pPr>
      <w:r w:rsidRPr="00F644D0">
        <w:rPr>
          <w:rFonts w:ascii="Times New Roman" w:hAnsi="Times New Roman"/>
          <w:sz w:val="28"/>
        </w:rPr>
        <w:t xml:space="preserve">Autoriza o Banco do Brasil S.A. e a Caixa Econômica Federal a </w:t>
      </w:r>
      <w:r w:rsidR="00F644D0" w:rsidRPr="00F644D0">
        <w:rPr>
          <w:rFonts w:ascii="Times New Roman" w:hAnsi="Times New Roman"/>
          <w:sz w:val="28"/>
        </w:rPr>
        <w:t xml:space="preserve">constituírem subsidiárias e </w:t>
      </w:r>
      <w:r w:rsidRPr="00F644D0">
        <w:rPr>
          <w:rFonts w:ascii="Times New Roman" w:hAnsi="Times New Roman"/>
          <w:sz w:val="28"/>
        </w:rPr>
        <w:t>adquirirem participação nos termos e condições previstos no art. 2º da Lei n</w:t>
      </w:r>
      <w:r w:rsidR="00F153A3">
        <w:rPr>
          <w:rFonts w:ascii="Times New Roman" w:hAnsi="Times New Roman"/>
          <w:sz w:val="28"/>
        </w:rPr>
        <w:t>º</w:t>
      </w:r>
      <w:r w:rsidRPr="00F644D0">
        <w:rPr>
          <w:rFonts w:ascii="Times New Roman" w:hAnsi="Times New Roman"/>
          <w:sz w:val="28"/>
        </w:rPr>
        <w:t xml:space="preserve"> 11.908, de 3 de março de 2009, </w:t>
      </w:r>
      <w:r w:rsidR="00F644D0" w:rsidRPr="00F644D0">
        <w:rPr>
          <w:rFonts w:ascii="Times New Roman" w:hAnsi="Times New Roman"/>
          <w:sz w:val="28"/>
        </w:rPr>
        <w:t xml:space="preserve">reabre o prazo previsto no art. 9º da Lei nº 13.155, de 5 de agosto de 2015, altera a data da exigibilidade do disposto no inciso II do § 1º e no art. 3º do art. 10 da lei nº 10.671, de 15 de maio de 2003, com a redação dada pelo art. 40 da Lei nº 13.155, de 2015, e </w:t>
      </w:r>
      <w:r w:rsidRPr="00F644D0">
        <w:rPr>
          <w:rFonts w:ascii="Times New Roman" w:hAnsi="Times New Roman"/>
          <w:sz w:val="28"/>
        </w:rPr>
        <w:t>dá outras providências</w:t>
      </w:r>
      <w:r w:rsidR="00F644D0" w:rsidRPr="00F644D0">
        <w:rPr>
          <w:rFonts w:ascii="Times New Roman" w:hAnsi="Times New Roman"/>
          <w:sz w:val="28"/>
        </w:rPr>
        <w:t>.</w:t>
      </w:r>
    </w:p>
    <w:p w:rsidR="00F644D0" w:rsidRPr="00DD378D" w:rsidRDefault="00F644D0" w:rsidP="00F644D0">
      <w:pPr>
        <w:tabs>
          <w:tab w:val="left" w:pos="0"/>
        </w:tabs>
        <w:ind w:left="3540"/>
        <w:jc w:val="both"/>
        <w:rPr>
          <w:rFonts w:ascii="Times New Roman" w:hAnsi="Times New Roman"/>
          <w:sz w:val="24"/>
        </w:rPr>
      </w:pPr>
    </w:p>
    <w:p w:rsidR="00DD378D" w:rsidRPr="00DD378D" w:rsidRDefault="00F644D0" w:rsidP="00DD378D">
      <w:pPr>
        <w:tabs>
          <w:tab w:val="left" w:pos="0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="00DD378D" w:rsidRPr="00DD378D">
        <w:rPr>
          <w:rFonts w:ascii="Times New Roman" w:hAnsi="Times New Roman"/>
          <w:sz w:val="24"/>
        </w:rPr>
        <w:tab/>
        <w:t>O CONGRESSO NACIONAL DECRETA</w:t>
      </w:r>
    </w:p>
    <w:p w:rsidR="00867EBC" w:rsidRPr="00867EBC" w:rsidRDefault="00F644D0" w:rsidP="00867EBC">
      <w:pPr>
        <w:pStyle w:val="05-Pargrafodetexto-CLG"/>
        <w:spacing w:after="240"/>
      </w:pPr>
      <w:bookmarkStart w:id="1" w:name="anexoxv."/>
      <w:bookmarkEnd w:id="1"/>
      <w:r w:rsidRPr="009D66FE">
        <w:t xml:space="preserve">Art. </w:t>
      </w:r>
      <w:r>
        <w:t xml:space="preserve">1º </w:t>
      </w:r>
      <w:r w:rsidR="00867EBC" w:rsidRPr="00867EBC">
        <w:t xml:space="preserve">O Banco do Brasil S.A. e a Caixa Econômica Federal, diretamente ou por </w:t>
      </w:r>
      <w:r w:rsidR="00E669C8">
        <w:t>meio</w:t>
      </w:r>
      <w:r w:rsidR="00867EBC" w:rsidRPr="00867EBC">
        <w:t xml:space="preserve"> de suas subsidiárias, poderão constituir ou adquirir participação em empresas, inclusive do ramo de </w:t>
      </w:r>
      <w:r w:rsidR="00E669C8">
        <w:t>tecnologia da i</w:t>
      </w:r>
      <w:r w:rsidR="00867EBC" w:rsidRPr="00867EBC">
        <w:t>nformação, nos termos e condições previstos no art. 1º e 2º da Lei nº 11.908, de 3 de março de 2009.</w:t>
      </w:r>
    </w:p>
    <w:p w:rsidR="00867EBC" w:rsidRPr="00867EBC" w:rsidRDefault="00867EBC" w:rsidP="00867EBC">
      <w:pPr>
        <w:pStyle w:val="05-Pargrafodetexto-CLG"/>
        <w:spacing w:after="240"/>
      </w:pPr>
      <w:r w:rsidRPr="00867EBC">
        <w:t>§ 1º</w:t>
      </w:r>
      <w:r>
        <w:t> </w:t>
      </w:r>
      <w:r w:rsidRPr="00867EBC">
        <w:t>A autorização prevista no </w:t>
      </w:r>
      <w:r w:rsidRPr="00867EBC">
        <w:rPr>
          <w:bCs/>
        </w:rPr>
        <w:t>caput</w:t>
      </w:r>
      <w:r w:rsidRPr="00867EBC">
        <w:t> é válida até 31 de dezembro de 2018.</w:t>
      </w:r>
    </w:p>
    <w:p w:rsidR="00867EBC" w:rsidRPr="00867EBC" w:rsidRDefault="00867EBC" w:rsidP="00867EBC">
      <w:pPr>
        <w:pStyle w:val="05-Pargrafodetexto-CLG"/>
        <w:spacing w:after="240"/>
      </w:pPr>
      <w:r w:rsidRPr="00867EBC">
        <w:t>§ 2º  É dispensável a licitação na contratação realizada pelo Banco do Brasil S.A. ou pela Caixa Econômica Federal com as suas respectivas subsidiárias e controladas, inclusive com aquelas que participem do grupo de controle vinculado por acordo de votos, nos termos previstos no art. 116 da Lei nº 6.404, de 15 de dezembro de 1976, e do art. 1.098 da Lei nº 10.406, de 10 de janeiro de 2002, para a aquisição ou alienação de bens, prestação ou obtenção de serviços, desde que o preço contratado seja compatível com o praticado no mercado.</w:t>
      </w:r>
    </w:p>
    <w:p w:rsidR="00F644D0" w:rsidRDefault="00F644D0" w:rsidP="00F644D0">
      <w:pPr>
        <w:pStyle w:val="05-Pargrafodetexto-CLG"/>
        <w:spacing w:after="240"/>
      </w:pPr>
      <w:r>
        <w:t xml:space="preserve">Art. 2º A Loteria Instantânea Exclusiva - Lotex, de que trata o art. 28 da Lei no 13.155, de 4 de agosto de 2015, poderá adicionalmente contar com temas complementares aos mencionados no caput do referido artigo, de maneira a permitir a exploração mercadológica de eventos de grande apelo popular, datas comemorativas, referências culturais, licenciamentos de marcas ou personagens e demais elementos gráficos e visuais que possam aumentar a atratividade comercial do produto. </w:t>
      </w:r>
    </w:p>
    <w:p w:rsidR="00F644D0" w:rsidRPr="00F644D0" w:rsidRDefault="00F644D0" w:rsidP="00F644D0">
      <w:pPr>
        <w:pStyle w:val="05-Pargrafodetexto-CLG"/>
        <w:spacing w:after="240"/>
      </w:pPr>
      <w:r w:rsidRPr="00F644D0">
        <w:t>Art. 3º. O prazo previsto no art. 9º da Lei nº 13.155, de 5 de agosto de 2015, fica reaberto, a partir da data da publicação desta Lei, até 31 de julho de 2016</w:t>
      </w:r>
      <w:r>
        <w:t>.</w:t>
      </w:r>
    </w:p>
    <w:p w:rsidR="00F644D0" w:rsidRDefault="00F644D0" w:rsidP="00F644D0">
      <w:pPr>
        <w:pStyle w:val="05-Pargrafodetexto-CLG"/>
        <w:spacing w:after="240"/>
      </w:pPr>
      <w:r>
        <w:t>Art. 4º. O disposto no inciso II do § 1º e no art. 3º do art. 10 da lei nº 10.671, de 15 de maio de 2003, com a redação dada pelo art. 40 da Lei nº 13.155 , de 2015, será exigível nas competições que tiverem início a partir de 1º de março de 2016.</w:t>
      </w:r>
    </w:p>
    <w:p w:rsidR="00F644D0" w:rsidRPr="00A324F9" w:rsidRDefault="00F644D0" w:rsidP="00F644D0">
      <w:pPr>
        <w:pStyle w:val="05-Pargrafodetexto-CLG"/>
        <w:spacing w:after="240"/>
      </w:pPr>
      <w:r>
        <w:t>Art. 5º Esta Lei entra em vigor na data de sua publicação</w:t>
      </w:r>
    </w:p>
    <w:p w:rsidR="00DD378D" w:rsidRPr="00F153A3" w:rsidRDefault="00DD378D" w:rsidP="00DD378D">
      <w:pPr>
        <w:pStyle w:val="10-Local-CLG"/>
        <w:rPr>
          <w:szCs w:val="28"/>
        </w:rPr>
      </w:pPr>
      <w:r w:rsidRPr="00F153A3">
        <w:rPr>
          <w:szCs w:val="28"/>
        </w:rPr>
        <w:t>Sala da Comissão,</w:t>
      </w:r>
      <w:r w:rsidR="00F153A3">
        <w:rPr>
          <w:szCs w:val="28"/>
        </w:rPr>
        <w:t xml:space="preserve"> </w:t>
      </w:r>
    </w:p>
    <w:p w:rsidR="00F153A3" w:rsidRPr="00F153A3" w:rsidRDefault="00F153A3" w:rsidP="00F153A3">
      <w:pPr>
        <w:pStyle w:val="Ttulo3"/>
        <w:jc w:val="center"/>
        <w:rPr>
          <w:rFonts w:ascii="Times New Roman" w:hAnsi="Times New Roman"/>
          <w:smallCaps/>
          <w:sz w:val="28"/>
          <w:szCs w:val="28"/>
        </w:rPr>
      </w:pPr>
      <w:r w:rsidRPr="00F153A3">
        <w:rPr>
          <w:rFonts w:ascii="Times New Roman" w:hAnsi="Times New Roman"/>
          <w:smallCaps/>
          <w:sz w:val="28"/>
          <w:szCs w:val="28"/>
        </w:rPr>
        <w:t>Ságuas Moraes</w:t>
      </w:r>
      <w:r w:rsidRPr="00F153A3">
        <w:rPr>
          <w:rFonts w:ascii="Times New Roman" w:hAnsi="Times New Roman"/>
          <w:sz w:val="28"/>
          <w:szCs w:val="28"/>
        </w:rPr>
        <w:t>- PT/MT</w:t>
      </w:r>
    </w:p>
    <w:p w:rsidR="00F153A3" w:rsidRPr="00F153A3" w:rsidRDefault="00F153A3" w:rsidP="00F153A3">
      <w:pPr>
        <w:pStyle w:val="Ttulo4"/>
        <w:jc w:val="center"/>
        <w:rPr>
          <w:rFonts w:ascii="Times New Roman" w:hAnsi="Times New Roman"/>
          <w:sz w:val="28"/>
          <w:szCs w:val="28"/>
        </w:rPr>
      </w:pPr>
      <w:r w:rsidRPr="00F153A3">
        <w:rPr>
          <w:rFonts w:ascii="Times New Roman" w:hAnsi="Times New Roman"/>
          <w:sz w:val="28"/>
          <w:szCs w:val="28"/>
        </w:rPr>
        <w:t xml:space="preserve">Deputado Federal </w:t>
      </w:r>
    </w:p>
    <w:p w:rsidR="00F153A3" w:rsidRPr="00F153A3" w:rsidRDefault="00F153A3" w:rsidP="00F153A3">
      <w:pPr>
        <w:jc w:val="center"/>
        <w:rPr>
          <w:rFonts w:ascii="Arial" w:hAnsi="Arial"/>
          <w:sz w:val="28"/>
          <w:szCs w:val="28"/>
        </w:rPr>
      </w:pPr>
      <w:r w:rsidRPr="00F153A3">
        <w:rPr>
          <w:rFonts w:ascii="Times New Roman" w:hAnsi="Times New Roman"/>
          <w:sz w:val="28"/>
          <w:szCs w:val="28"/>
        </w:rPr>
        <w:t>Relator</w:t>
      </w:r>
    </w:p>
    <w:p w:rsidR="00DD378D" w:rsidRPr="00DD378D" w:rsidRDefault="00DD378D" w:rsidP="00F153A3">
      <w:pPr>
        <w:pStyle w:val="11-Assinaturas-CLG"/>
        <w:ind w:left="0"/>
        <w:jc w:val="right"/>
      </w:pPr>
    </w:p>
    <w:sectPr w:rsidR="00DD378D" w:rsidRPr="00DD378D" w:rsidSect="002D2FE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F10" w:rsidRDefault="00380F10" w:rsidP="00997D71">
      <w:pPr>
        <w:spacing w:after="0" w:line="240" w:lineRule="auto"/>
      </w:pPr>
      <w:r>
        <w:separator/>
      </w:r>
    </w:p>
  </w:endnote>
  <w:endnote w:type="continuationSeparator" w:id="0">
    <w:p w:rsidR="00380F10" w:rsidRDefault="00380F10" w:rsidP="00997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D7" w:rsidRDefault="005C49D7">
    <w:pPr>
      <w:pStyle w:val="Rodap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91BBC">
      <w:rPr>
        <w:noProof/>
      </w:rPr>
      <w:t>1</w:t>
    </w:r>
    <w:r>
      <w:rPr>
        <w:noProof/>
      </w:rPr>
      <w:fldChar w:fldCharType="end"/>
    </w:r>
  </w:p>
  <w:p w:rsidR="005C49D7" w:rsidRDefault="005C49D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F10" w:rsidRDefault="00380F10" w:rsidP="00997D71">
      <w:pPr>
        <w:spacing w:after="0" w:line="240" w:lineRule="auto"/>
      </w:pPr>
      <w:r>
        <w:separator/>
      </w:r>
    </w:p>
  </w:footnote>
  <w:footnote w:type="continuationSeparator" w:id="0">
    <w:p w:rsidR="00380F10" w:rsidRDefault="00380F10" w:rsidP="00997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49D7" w:rsidRPr="00623E7D" w:rsidRDefault="00C94162" w:rsidP="000A4C54">
    <w:pPr>
      <w:pStyle w:val="Cabealho"/>
      <w:jc w:val="center"/>
    </w:pPr>
    <w:r w:rsidRPr="00D12DFB">
      <w:rPr>
        <w:noProof/>
        <w:lang w:eastAsia="pt-BR"/>
      </w:rPr>
      <w:drawing>
        <wp:inline distT="0" distB="0" distL="0" distR="0">
          <wp:extent cx="638175" cy="628650"/>
          <wp:effectExtent l="0" t="0" r="9525" b="0"/>
          <wp:docPr id="1" name="Imagem 0" descr="planalto_presidencia_simbolosnacionais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planalto_presidencia_simbolosnacionais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C49D7" w:rsidRPr="00623E7D" w:rsidRDefault="005C49D7" w:rsidP="00137E59">
    <w:pPr>
      <w:pStyle w:val="Cabealho"/>
      <w:spacing w:after="0"/>
      <w:jc w:val="center"/>
    </w:pPr>
    <w:r>
      <w:t>CÂMARA DOS DEPUTADOS</w:t>
    </w:r>
  </w:p>
  <w:p w:rsidR="005C49D7" w:rsidRDefault="005C49D7" w:rsidP="00137E59">
    <w:pPr>
      <w:pStyle w:val="Cabealho"/>
      <w:spacing w:after="240"/>
      <w:jc w:val="center"/>
    </w:pPr>
    <w:r>
      <w:t>Gabinete do Deputado Ságuas Moraes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61F2"/>
    <w:multiLevelType w:val="hybridMultilevel"/>
    <w:tmpl w:val="E53AA0F4"/>
    <w:lvl w:ilvl="0" w:tplc="1CFE800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76568E4"/>
    <w:multiLevelType w:val="hybridMultilevel"/>
    <w:tmpl w:val="110AFA50"/>
    <w:lvl w:ilvl="0" w:tplc="BD04C4B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B73490E"/>
    <w:multiLevelType w:val="hybridMultilevel"/>
    <w:tmpl w:val="E9C02A78"/>
    <w:lvl w:ilvl="0" w:tplc="3DFC3FB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33B85F71"/>
    <w:multiLevelType w:val="hybridMultilevel"/>
    <w:tmpl w:val="CB4483CE"/>
    <w:lvl w:ilvl="0" w:tplc="1400CC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3CA127B9"/>
    <w:multiLevelType w:val="hybridMultilevel"/>
    <w:tmpl w:val="E53AA0F4"/>
    <w:lvl w:ilvl="0" w:tplc="1CFE800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50A46C2D"/>
    <w:multiLevelType w:val="hybridMultilevel"/>
    <w:tmpl w:val="FD9C09FE"/>
    <w:lvl w:ilvl="0" w:tplc="33C6796E">
      <w:start w:val="1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5E4C4678"/>
    <w:multiLevelType w:val="hybridMultilevel"/>
    <w:tmpl w:val="2BBC50DC"/>
    <w:lvl w:ilvl="0" w:tplc="503804FA">
      <w:start w:val="1"/>
      <w:numFmt w:val="lowerLetter"/>
      <w:lvlText w:val="%1)"/>
      <w:lvlJc w:val="left"/>
      <w:pPr>
        <w:ind w:left="3206" w:hanging="1788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690F27D6"/>
    <w:multiLevelType w:val="hybridMultilevel"/>
    <w:tmpl w:val="9B4E9AC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EC93F44"/>
    <w:multiLevelType w:val="hybridMultilevel"/>
    <w:tmpl w:val="9B4E9AC0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7CC"/>
    <w:rsid w:val="000173D8"/>
    <w:rsid w:val="000617A6"/>
    <w:rsid w:val="0007774F"/>
    <w:rsid w:val="000801C6"/>
    <w:rsid w:val="000977EB"/>
    <w:rsid w:val="000A4C54"/>
    <w:rsid w:val="000C03EF"/>
    <w:rsid w:val="000E2CF8"/>
    <w:rsid w:val="000E3E77"/>
    <w:rsid w:val="00111D6A"/>
    <w:rsid w:val="00137E59"/>
    <w:rsid w:val="00160282"/>
    <w:rsid w:val="00183D46"/>
    <w:rsid w:val="0018418E"/>
    <w:rsid w:val="0018629E"/>
    <w:rsid w:val="001B440D"/>
    <w:rsid w:val="001C5D85"/>
    <w:rsid w:val="001F773A"/>
    <w:rsid w:val="002148BE"/>
    <w:rsid w:val="00235E6A"/>
    <w:rsid w:val="002552A8"/>
    <w:rsid w:val="00291BBC"/>
    <w:rsid w:val="00292C1C"/>
    <w:rsid w:val="002D2FE6"/>
    <w:rsid w:val="002F01A7"/>
    <w:rsid w:val="002F2CE1"/>
    <w:rsid w:val="0032605C"/>
    <w:rsid w:val="00336C18"/>
    <w:rsid w:val="00380F10"/>
    <w:rsid w:val="00392DBD"/>
    <w:rsid w:val="003B3965"/>
    <w:rsid w:val="003E195A"/>
    <w:rsid w:val="004035C4"/>
    <w:rsid w:val="00417A0B"/>
    <w:rsid w:val="00424C03"/>
    <w:rsid w:val="00445E13"/>
    <w:rsid w:val="004D4AAA"/>
    <w:rsid w:val="004F3F1A"/>
    <w:rsid w:val="0051038E"/>
    <w:rsid w:val="00543726"/>
    <w:rsid w:val="00545A39"/>
    <w:rsid w:val="005549CD"/>
    <w:rsid w:val="00567780"/>
    <w:rsid w:val="00585E8E"/>
    <w:rsid w:val="005C49D7"/>
    <w:rsid w:val="005E50D1"/>
    <w:rsid w:val="00604C93"/>
    <w:rsid w:val="00637D8F"/>
    <w:rsid w:val="00692AAD"/>
    <w:rsid w:val="006C3F23"/>
    <w:rsid w:val="006D4DDC"/>
    <w:rsid w:val="006E6127"/>
    <w:rsid w:val="00707C53"/>
    <w:rsid w:val="00711E10"/>
    <w:rsid w:val="007424CC"/>
    <w:rsid w:val="00750CCA"/>
    <w:rsid w:val="007713AC"/>
    <w:rsid w:val="00791B69"/>
    <w:rsid w:val="00793CC3"/>
    <w:rsid w:val="007C26DE"/>
    <w:rsid w:val="008009DE"/>
    <w:rsid w:val="00842A83"/>
    <w:rsid w:val="00847986"/>
    <w:rsid w:val="00867EBC"/>
    <w:rsid w:val="00871A84"/>
    <w:rsid w:val="008A370E"/>
    <w:rsid w:val="008A509C"/>
    <w:rsid w:val="008A53A1"/>
    <w:rsid w:val="008B6004"/>
    <w:rsid w:val="008D2A99"/>
    <w:rsid w:val="009117A1"/>
    <w:rsid w:val="00914628"/>
    <w:rsid w:val="00916D41"/>
    <w:rsid w:val="009252C6"/>
    <w:rsid w:val="00934DF4"/>
    <w:rsid w:val="00947589"/>
    <w:rsid w:val="009728E5"/>
    <w:rsid w:val="00997D71"/>
    <w:rsid w:val="009A7EE2"/>
    <w:rsid w:val="009B5A56"/>
    <w:rsid w:val="009D66FE"/>
    <w:rsid w:val="009F055E"/>
    <w:rsid w:val="00A279C6"/>
    <w:rsid w:val="00A429C1"/>
    <w:rsid w:val="00A63B1E"/>
    <w:rsid w:val="00AD3671"/>
    <w:rsid w:val="00B04D97"/>
    <w:rsid w:val="00B25A78"/>
    <w:rsid w:val="00B93379"/>
    <w:rsid w:val="00C93234"/>
    <w:rsid w:val="00C94162"/>
    <w:rsid w:val="00CA6272"/>
    <w:rsid w:val="00CF03BB"/>
    <w:rsid w:val="00D04854"/>
    <w:rsid w:val="00D10BEE"/>
    <w:rsid w:val="00D517B3"/>
    <w:rsid w:val="00D60195"/>
    <w:rsid w:val="00DB5981"/>
    <w:rsid w:val="00DD378D"/>
    <w:rsid w:val="00DE6410"/>
    <w:rsid w:val="00DF0320"/>
    <w:rsid w:val="00DF695E"/>
    <w:rsid w:val="00E029BE"/>
    <w:rsid w:val="00E321D3"/>
    <w:rsid w:val="00E55FCF"/>
    <w:rsid w:val="00E56A90"/>
    <w:rsid w:val="00E57CE0"/>
    <w:rsid w:val="00E653CC"/>
    <w:rsid w:val="00E669C8"/>
    <w:rsid w:val="00E736F2"/>
    <w:rsid w:val="00E837CC"/>
    <w:rsid w:val="00E973A2"/>
    <w:rsid w:val="00EB6CBE"/>
    <w:rsid w:val="00EB795A"/>
    <w:rsid w:val="00ED3B1E"/>
    <w:rsid w:val="00EE4767"/>
    <w:rsid w:val="00EE780A"/>
    <w:rsid w:val="00EF06AC"/>
    <w:rsid w:val="00F153A3"/>
    <w:rsid w:val="00F36D4A"/>
    <w:rsid w:val="00F51B13"/>
    <w:rsid w:val="00F54B4C"/>
    <w:rsid w:val="00F644D0"/>
    <w:rsid w:val="00F76A6D"/>
    <w:rsid w:val="00F82E31"/>
    <w:rsid w:val="00F87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9D8225-8A78-483E-9A9F-8DBD1727B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37CC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153A3"/>
    <w:pPr>
      <w:keepNext/>
      <w:spacing w:after="0" w:line="240" w:lineRule="auto"/>
      <w:jc w:val="both"/>
      <w:outlineLvl w:val="2"/>
    </w:pPr>
    <w:rPr>
      <w:rFonts w:ascii="Arial" w:eastAsia="Times New Roman" w:hAnsi="Arial"/>
      <w:b/>
      <w:sz w:val="26"/>
      <w:szCs w:val="20"/>
      <w:lang w:eastAsia="pt-BR"/>
    </w:rPr>
  </w:style>
  <w:style w:type="paragraph" w:styleId="Ttulo4">
    <w:name w:val="heading 4"/>
    <w:basedOn w:val="Normal"/>
    <w:next w:val="Normal"/>
    <w:link w:val="Ttulo4Char"/>
    <w:unhideWhenUsed/>
    <w:qFormat/>
    <w:rsid w:val="00F153A3"/>
    <w:pPr>
      <w:keepNext/>
      <w:spacing w:after="0" w:line="240" w:lineRule="auto"/>
      <w:outlineLvl w:val="3"/>
    </w:pPr>
    <w:rPr>
      <w:rFonts w:ascii="Arial" w:eastAsia="Times New Roman" w:hAnsi="Arial"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1-Minuta-CLG">
    <w:name w:val="01 - Minuta - CLG"/>
    <w:link w:val="01-Minuta-CLGChar"/>
    <w:rsid w:val="00E837CC"/>
    <w:pPr>
      <w:spacing w:after="180"/>
      <w:jc w:val="center"/>
    </w:pPr>
    <w:rPr>
      <w:rFonts w:eastAsia="Times New Roman"/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E837CC"/>
    <w:pPr>
      <w:spacing w:after="960"/>
      <w:jc w:val="center"/>
    </w:pPr>
    <w:rPr>
      <w:rFonts w:eastAsia="Times New Roman"/>
      <w:b/>
      <w:bCs/>
      <w:sz w:val="32"/>
      <w:szCs w:val="22"/>
    </w:rPr>
  </w:style>
  <w:style w:type="paragraph" w:customStyle="1" w:styleId="03-Ementa-CLG">
    <w:name w:val="03 - Ementa - CLG"/>
    <w:link w:val="03-Ementa-CLGCharChar"/>
    <w:rsid w:val="00E837CC"/>
    <w:pPr>
      <w:spacing w:after="960"/>
      <w:ind w:left="3686"/>
      <w:jc w:val="both"/>
    </w:pPr>
    <w:rPr>
      <w:rFonts w:eastAsia="Arial Unicode MS"/>
      <w:szCs w:val="24"/>
    </w:rPr>
  </w:style>
  <w:style w:type="character" w:customStyle="1" w:styleId="03-Ementa-CLGCharChar">
    <w:name w:val="03 - Ementa - CLG Char Char"/>
    <w:link w:val="03-Ementa-CLG"/>
    <w:rsid w:val="00E837CC"/>
    <w:rPr>
      <w:rFonts w:eastAsia="Arial Unicode MS"/>
      <w:szCs w:val="24"/>
      <w:lang w:eastAsia="pt-BR" w:bidi="ar-SA"/>
    </w:rPr>
  </w:style>
  <w:style w:type="paragraph" w:customStyle="1" w:styleId="04-Relatoria-CLG">
    <w:name w:val="04 - Relatoria - CLG"/>
    <w:link w:val="04-Relatoria-CLGChar"/>
    <w:rsid w:val="00E837CC"/>
    <w:pPr>
      <w:spacing w:after="960"/>
      <w:ind w:left="1440"/>
    </w:pPr>
    <w:rPr>
      <w:rFonts w:eastAsia="Times New Roman"/>
      <w:sz w:val="28"/>
      <w:szCs w:val="22"/>
    </w:rPr>
  </w:style>
  <w:style w:type="paragraph" w:customStyle="1" w:styleId="05-Subttulo-CLG">
    <w:name w:val="05 - Subtítulo - CLG"/>
    <w:link w:val="05-Subttulo-CLGChar"/>
    <w:rsid w:val="00E837CC"/>
    <w:pPr>
      <w:spacing w:after="480"/>
      <w:jc w:val="both"/>
    </w:pPr>
    <w:rPr>
      <w:rFonts w:eastAsia="Times New Roman"/>
      <w:b/>
      <w:bCs/>
      <w:sz w:val="28"/>
      <w:szCs w:val="22"/>
    </w:rPr>
  </w:style>
  <w:style w:type="paragraph" w:customStyle="1" w:styleId="06-Pargrafodetexto-CLG">
    <w:name w:val="06 - Parágrafo de texto - CLG"/>
    <w:link w:val="06-Pargrafodetexto-CLGChar"/>
    <w:rsid w:val="00E837CC"/>
    <w:pPr>
      <w:spacing w:after="360"/>
      <w:ind w:firstLine="1418"/>
      <w:jc w:val="both"/>
    </w:pPr>
    <w:rPr>
      <w:rFonts w:eastAsia="Times New Roman"/>
      <w:sz w:val="28"/>
      <w:szCs w:val="22"/>
    </w:rPr>
  </w:style>
  <w:style w:type="character" w:customStyle="1" w:styleId="01-Minuta-CLGChar">
    <w:name w:val="01 - Minuta - CLG Char"/>
    <w:link w:val="01-Minuta-CLG"/>
    <w:rsid w:val="00E837CC"/>
    <w:rPr>
      <w:rFonts w:eastAsia="Times New Roman"/>
      <w:sz w:val="24"/>
      <w:szCs w:val="22"/>
      <w:lang w:eastAsia="pt-BR" w:bidi="ar-SA"/>
    </w:rPr>
  </w:style>
  <w:style w:type="paragraph" w:customStyle="1" w:styleId="11-Assinaturas-CLG">
    <w:name w:val="11 - Assinaturas - CLG"/>
    <w:link w:val="11-Assinaturas-CLGChar"/>
    <w:rsid w:val="00E837CC"/>
    <w:pPr>
      <w:spacing w:after="960"/>
      <w:ind w:left="6240"/>
      <w:jc w:val="both"/>
    </w:pPr>
    <w:rPr>
      <w:rFonts w:eastAsia="Times New Roman"/>
      <w:sz w:val="28"/>
      <w:szCs w:val="22"/>
    </w:rPr>
  </w:style>
  <w:style w:type="character" w:customStyle="1" w:styleId="02-TtuloPrincipal-CLGChar">
    <w:name w:val="02 - Título Principal - CLG Char"/>
    <w:link w:val="02-TtuloPrincipal-CLG"/>
    <w:rsid w:val="00E837CC"/>
    <w:rPr>
      <w:rFonts w:eastAsia="Times New Roman"/>
      <w:b/>
      <w:bCs/>
      <w:sz w:val="32"/>
      <w:szCs w:val="22"/>
      <w:lang w:eastAsia="pt-BR" w:bidi="ar-SA"/>
    </w:rPr>
  </w:style>
  <w:style w:type="character" w:customStyle="1" w:styleId="04-Relatoria-CLGChar">
    <w:name w:val="04 - Relatoria - CLG Char"/>
    <w:link w:val="04-Relatoria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05-Subttulo-CLGChar">
    <w:name w:val="05 - Subtítulo - CLG Char"/>
    <w:link w:val="05-Subttulo-CLG"/>
    <w:rsid w:val="00E837CC"/>
    <w:rPr>
      <w:rFonts w:eastAsia="Times New Roman"/>
      <w:b/>
      <w:bCs/>
      <w:sz w:val="28"/>
      <w:szCs w:val="22"/>
      <w:lang w:eastAsia="pt-BR" w:bidi="ar-SA"/>
    </w:rPr>
  </w:style>
  <w:style w:type="character" w:customStyle="1" w:styleId="06-Pargrafodetexto-CLGChar">
    <w:name w:val="06 - Parágrafo de texto - CLG Char"/>
    <w:link w:val="06-Pargrafodetexto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11-Assinaturas-CLGChar">
    <w:name w:val="11 - Assinaturas - CLG Char"/>
    <w:link w:val="11-Assinaturas-CLG"/>
    <w:rsid w:val="00E837CC"/>
    <w:rPr>
      <w:rFonts w:eastAsia="Times New Roman"/>
      <w:sz w:val="28"/>
      <w:szCs w:val="22"/>
      <w:lang w:eastAsia="pt-BR" w:bidi="ar-SA"/>
    </w:rPr>
  </w:style>
  <w:style w:type="paragraph" w:customStyle="1" w:styleId="04-PargrafodetextoEstudoNotas-CLG">
    <w:name w:val="04 - Parágrafo de texto Estudo Notas - CLG"/>
    <w:link w:val="04-PargrafodetextoEstudoNotas-CLGChar"/>
    <w:rsid w:val="00E837CC"/>
    <w:pPr>
      <w:spacing w:after="360" w:line="360" w:lineRule="auto"/>
      <w:ind w:firstLine="1418"/>
      <w:jc w:val="both"/>
    </w:pPr>
    <w:rPr>
      <w:rFonts w:eastAsia="Times New Roman"/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E837CC"/>
    <w:rPr>
      <w:rFonts w:eastAsia="Times New Roman"/>
      <w:sz w:val="28"/>
      <w:szCs w:val="22"/>
      <w:lang w:eastAsia="pt-BR" w:bidi="ar-SA"/>
    </w:rPr>
  </w:style>
  <w:style w:type="character" w:customStyle="1" w:styleId="Recuodecorpodetexto2Char">
    <w:name w:val="Recuo de corpo de texto 2 Char"/>
    <w:link w:val="Recuodecorpodetexto2"/>
    <w:locked/>
    <w:rsid w:val="00E837CC"/>
    <w:rPr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E837CC"/>
    <w:pPr>
      <w:spacing w:after="120" w:line="480" w:lineRule="auto"/>
      <w:ind w:left="283"/>
    </w:pPr>
    <w:rPr>
      <w:rFonts w:ascii="Times New Roman" w:hAnsi="Times New Roman"/>
      <w:sz w:val="20"/>
      <w:szCs w:val="24"/>
      <w:lang w:val="x-none" w:eastAsia="pt-BR"/>
    </w:rPr>
  </w:style>
  <w:style w:type="character" w:customStyle="1" w:styleId="Recuodecorpodetexto2Char1">
    <w:name w:val="Recuo de corpo de texto 2 Char1"/>
    <w:uiPriority w:val="99"/>
    <w:semiHidden/>
    <w:rsid w:val="00E837CC"/>
    <w:rPr>
      <w:rFonts w:ascii="Calibri" w:eastAsia="Calibri" w:hAnsi="Calibri" w:cs="Times New Roman"/>
      <w:sz w:val="22"/>
    </w:rPr>
  </w:style>
  <w:style w:type="paragraph" w:styleId="Corpodetexto">
    <w:name w:val="Body Text"/>
    <w:basedOn w:val="Normal"/>
    <w:link w:val="CorpodetextoChar"/>
    <w:rsid w:val="00E837CC"/>
    <w:pPr>
      <w:spacing w:after="12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"/>
    <w:rsid w:val="00E837CC"/>
    <w:rPr>
      <w:rFonts w:eastAsia="Times New Roman" w:cs="Times New Roman"/>
      <w:szCs w:val="20"/>
      <w:lang w:eastAsia="pt-BR"/>
    </w:rPr>
  </w:style>
  <w:style w:type="paragraph" w:customStyle="1" w:styleId="05-Pargrafodetexto-CLG">
    <w:name w:val="05 - Parágrafo de texto - CLG"/>
    <w:link w:val="05-Pargrafodetexto-CLGChar"/>
    <w:rsid w:val="00E837CC"/>
    <w:pPr>
      <w:spacing w:after="360"/>
      <w:ind w:firstLine="1418"/>
      <w:jc w:val="both"/>
    </w:pPr>
    <w:rPr>
      <w:rFonts w:eastAsia="Times New Roman"/>
      <w:sz w:val="28"/>
      <w:szCs w:val="22"/>
    </w:rPr>
  </w:style>
  <w:style w:type="character" w:customStyle="1" w:styleId="05-Pargrafodetexto-CLGChar">
    <w:name w:val="05 - Parágrafo de texto - CLG Char"/>
    <w:link w:val="05-Pargrafodetexto-CLG"/>
    <w:rsid w:val="00E837CC"/>
    <w:rPr>
      <w:rFonts w:eastAsia="Times New Roman"/>
      <w:sz w:val="28"/>
      <w:szCs w:val="22"/>
      <w:lang w:eastAsia="pt-BR" w:bidi="ar-SA"/>
    </w:rPr>
  </w:style>
  <w:style w:type="character" w:styleId="Hyperlink">
    <w:name w:val="Hyperlink"/>
    <w:uiPriority w:val="99"/>
    <w:unhideWhenUsed/>
    <w:rsid w:val="00E837CC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837CC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E837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837CC"/>
    <w:rPr>
      <w:rFonts w:ascii="Calibri" w:eastAsia="Calibri" w:hAnsi="Calibri" w:cs="Times New Roman"/>
      <w:sz w:val="22"/>
    </w:rPr>
  </w:style>
  <w:style w:type="paragraph" w:customStyle="1" w:styleId="Default">
    <w:name w:val="Default"/>
    <w:qFormat/>
    <w:rsid w:val="00E973A2"/>
    <w:pPr>
      <w:suppressAutoHyphens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data">
    <w:name w:val="data"/>
    <w:basedOn w:val="Normal"/>
    <w:qFormat/>
    <w:rsid w:val="00E973A2"/>
    <w:pPr>
      <w:keepNext/>
      <w:widowControl w:val="0"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76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F76A6D"/>
    <w:rPr>
      <w:rFonts w:ascii="Tahoma" w:hAnsi="Tahoma" w:cs="Tahoma"/>
      <w:sz w:val="16"/>
      <w:szCs w:val="16"/>
      <w:lang w:eastAsia="en-US"/>
    </w:rPr>
  </w:style>
  <w:style w:type="paragraph" w:styleId="Cabealho">
    <w:name w:val="header"/>
    <w:aliases w:val="Cabeçalho - CLG"/>
    <w:basedOn w:val="Normal"/>
    <w:link w:val="CabealhoChar"/>
    <w:uiPriority w:val="99"/>
    <w:unhideWhenUsed/>
    <w:rsid w:val="00137E5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- CLG Char"/>
    <w:link w:val="Cabealho"/>
    <w:uiPriority w:val="99"/>
    <w:rsid w:val="00137E59"/>
    <w:rPr>
      <w:rFonts w:ascii="Calibri" w:hAnsi="Calibri"/>
      <w:sz w:val="22"/>
      <w:szCs w:val="22"/>
      <w:lang w:eastAsia="en-US"/>
    </w:rPr>
  </w:style>
  <w:style w:type="paragraph" w:customStyle="1" w:styleId="10-Local-CLG">
    <w:name w:val="10 - Local - CLG"/>
    <w:link w:val="10-Local-CLGChar"/>
    <w:rsid w:val="00DD378D"/>
    <w:pPr>
      <w:spacing w:before="960" w:after="720"/>
      <w:ind w:firstLine="2520"/>
      <w:jc w:val="both"/>
    </w:pPr>
    <w:rPr>
      <w:rFonts w:eastAsia="Times New Roman"/>
      <w:sz w:val="28"/>
    </w:rPr>
  </w:style>
  <w:style w:type="character" w:customStyle="1" w:styleId="10-Local-CLGChar">
    <w:name w:val="10 - Local - CLG Char"/>
    <w:link w:val="10-Local-CLG"/>
    <w:rsid w:val="00DD378D"/>
    <w:rPr>
      <w:rFonts w:eastAsia="Times New Roman"/>
      <w:sz w:val="28"/>
    </w:rPr>
  </w:style>
  <w:style w:type="paragraph" w:customStyle="1" w:styleId="Normal1">
    <w:name w:val="Normal+1"/>
    <w:basedOn w:val="Default"/>
    <w:next w:val="Default"/>
    <w:uiPriority w:val="99"/>
    <w:rsid w:val="00DD378D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auto"/>
    </w:rPr>
  </w:style>
  <w:style w:type="character" w:customStyle="1" w:styleId="Ttulo3Char">
    <w:name w:val="Título 3 Char"/>
    <w:link w:val="Ttulo3"/>
    <w:semiHidden/>
    <w:rsid w:val="00F153A3"/>
    <w:rPr>
      <w:rFonts w:ascii="Arial" w:eastAsia="Times New Roman" w:hAnsi="Arial"/>
      <w:b/>
      <w:sz w:val="26"/>
    </w:rPr>
  </w:style>
  <w:style w:type="character" w:customStyle="1" w:styleId="Ttulo4Char">
    <w:name w:val="Título 4 Char"/>
    <w:link w:val="Ttulo4"/>
    <w:rsid w:val="00F153A3"/>
    <w:rPr>
      <w:rFonts w:ascii="Arial" w:eastAsia="Times New Roman" w:hAnsi="Arial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5968A-AB6E-4523-86BE-6BE8BEEF8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1530</Words>
  <Characters>8262</Characters>
  <Application>Microsoft Office Word</Application>
  <DocSecurity>4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Senado Federal</Company>
  <LinksUpToDate>false</LinksUpToDate>
  <CharactersWithSpaces>9773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kennethfleming</dc:creator>
  <cp:lastModifiedBy>Bruno Brey Vieira</cp:lastModifiedBy>
  <cp:revision>2</cp:revision>
  <cp:lastPrinted>2015-12-08T13:42:00Z</cp:lastPrinted>
  <dcterms:created xsi:type="dcterms:W3CDTF">2015-12-08T17:12:00Z</dcterms:created>
  <dcterms:modified xsi:type="dcterms:W3CDTF">2015-12-08T17:12:00Z</dcterms:modified>
</cp:coreProperties>
</file>