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Default="00B2587E" w:rsidP="006F333D">
      <w:pPr>
        <w:pStyle w:val="02-TtuloPrincipal-CLG"/>
        <w:spacing w:before="240" w:after="120"/>
      </w:pPr>
      <w:r>
        <w:t xml:space="preserve">PROJETO DE LEI DE </w:t>
      </w:r>
      <w:r w:rsidRPr="00EB1D71">
        <w:rPr>
          <w:bCs w:val="0"/>
          <w:szCs w:val="32"/>
        </w:rPr>
        <w:t>CONVERSÃO</w:t>
      </w:r>
      <w:r>
        <w:t xml:space="preserve"> Nº </w:t>
      </w:r>
      <w:r w:rsidR="00F05D60">
        <w:t>17</w:t>
      </w:r>
      <w:r>
        <w:t>, DE 201</w:t>
      </w:r>
      <w:r w:rsidR="00383430">
        <w:t>8</w:t>
      </w:r>
    </w:p>
    <w:p w:rsidR="00B2587E" w:rsidRDefault="00B2587E" w:rsidP="00B2587E">
      <w:pPr>
        <w:pStyle w:val="02-TtuloPrincipal-CLG"/>
        <w:rPr>
          <w:b w:val="0"/>
          <w:bCs w:val="0"/>
          <w:sz w:val="24"/>
          <w:szCs w:val="24"/>
        </w:rPr>
      </w:pPr>
      <w:r w:rsidRPr="00203FEB">
        <w:rPr>
          <w:b w:val="0"/>
          <w:bCs w:val="0"/>
          <w:sz w:val="24"/>
          <w:szCs w:val="24"/>
        </w:rPr>
        <w:t xml:space="preserve">(Proveniente da Medida Provisória nº </w:t>
      </w:r>
      <w:r w:rsidR="00383430">
        <w:rPr>
          <w:b w:val="0"/>
          <w:bCs w:val="0"/>
          <w:sz w:val="24"/>
          <w:szCs w:val="24"/>
        </w:rPr>
        <w:t>833</w:t>
      </w:r>
      <w:r w:rsidRPr="00203FEB">
        <w:rPr>
          <w:b w:val="0"/>
          <w:bCs w:val="0"/>
          <w:sz w:val="24"/>
          <w:szCs w:val="24"/>
        </w:rPr>
        <w:t>, de 20</w:t>
      </w:r>
      <w:r w:rsidR="00383430">
        <w:rPr>
          <w:b w:val="0"/>
          <w:bCs w:val="0"/>
          <w:sz w:val="24"/>
          <w:szCs w:val="24"/>
        </w:rPr>
        <w:t>18</w:t>
      </w:r>
      <w:r w:rsidRPr="00203FEB">
        <w:rPr>
          <w:b w:val="0"/>
          <w:bCs w:val="0"/>
          <w:sz w:val="24"/>
          <w:szCs w:val="24"/>
        </w:rPr>
        <w:t>)</w:t>
      </w:r>
    </w:p>
    <w:p w:rsidR="00383430" w:rsidRPr="00EF4E96" w:rsidRDefault="00383430" w:rsidP="00383430">
      <w:pPr>
        <w:pStyle w:val="06-Pargrafodetexto-CLG"/>
        <w:ind w:left="3686" w:firstLine="0"/>
        <w:rPr>
          <w:iCs/>
          <w:kern w:val="1"/>
          <w:sz w:val="24"/>
          <w:szCs w:val="24"/>
          <w:lang w:eastAsia="ar-SA"/>
        </w:rPr>
      </w:pPr>
      <w:r w:rsidRPr="00832136">
        <w:rPr>
          <w:iCs/>
          <w:kern w:val="1"/>
          <w:sz w:val="24"/>
          <w:szCs w:val="24"/>
          <w:lang w:eastAsia="ar-SA"/>
        </w:rPr>
        <w:t>Altera a Lei nº 13.103, de 2 de março de 2015, para</w:t>
      </w:r>
      <w:r>
        <w:rPr>
          <w:iCs/>
          <w:kern w:val="1"/>
          <w:sz w:val="24"/>
          <w:szCs w:val="24"/>
          <w:lang w:eastAsia="ar-SA"/>
        </w:rPr>
        <w:t xml:space="preserve"> </w:t>
      </w:r>
      <w:r w:rsidRPr="00832136">
        <w:rPr>
          <w:iCs/>
          <w:kern w:val="1"/>
          <w:sz w:val="24"/>
          <w:szCs w:val="24"/>
          <w:lang w:eastAsia="ar-SA"/>
        </w:rPr>
        <w:t>prever que, em todo o território nacional, os</w:t>
      </w:r>
      <w:r>
        <w:rPr>
          <w:iCs/>
          <w:kern w:val="1"/>
          <w:sz w:val="24"/>
          <w:szCs w:val="24"/>
          <w:lang w:eastAsia="ar-SA"/>
        </w:rPr>
        <w:t xml:space="preserve"> </w:t>
      </w:r>
      <w:r w:rsidRPr="00832136">
        <w:rPr>
          <w:iCs/>
          <w:kern w:val="1"/>
          <w:sz w:val="24"/>
          <w:szCs w:val="24"/>
          <w:lang w:eastAsia="ar-SA"/>
        </w:rPr>
        <w:t>veículos de transporte de cargas que circularem</w:t>
      </w:r>
      <w:r>
        <w:rPr>
          <w:iCs/>
          <w:kern w:val="1"/>
          <w:sz w:val="24"/>
          <w:szCs w:val="24"/>
          <w:lang w:eastAsia="ar-SA"/>
        </w:rPr>
        <w:t xml:space="preserve"> </w:t>
      </w:r>
      <w:r w:rsidRPr="00832136">
        <w:rPr>
          <w:iCs/>
          <w:kern w:val="1"/>
          <w:sz w:val="24"/>
          <w:szCs w:val="24"/>
          <w:lang w:eastAsia="ar-SA"/>
        </w:rPr>
        <w:t xml:space="preserve">vazios nas vias terrestres federais, </w:t>
      </w:r>
      <w:r>
        <w:rPr>
          <w:iCs/>
          <w:kern w:val="1"/>
          <w:sz w:val="24"/>
          <w:szCs w:val="24"/>
          <w:lang w:eastAsia="ar-SA"/>
        </w:rPr>
        <w:t>e</w:t>
      </w:r>
      <w:r w:rsidRPr="00832136">
        <w:rPr>
          <w:iCs/>
          <w:kern w:val="1"/>
          <w:sz w:val="24"/>
          <w:szCs w:val="24"/>
          <w:lang w:eastAsia="ar-SA"/>
        </w:rPr>
        <w:t>staduais,</w:t>
      </w:r>
      <w:r>
        <w:rPr>
          <w:iCs/>
          <w:kern w:val="1"/>
          <w:sz w:val="24"/>
          <w:szCs w:val="24"/>
          <w:lang w:eastAsia="ar-SA"/>
        </w:rPr>
        <w:t xml:space="preserve"> </w:t>
      </w:r>
      <w:r w:rsidRPr="00832136">
        <w:rPr>
          <w:iCs/>
          <w:kern w:val="1"/>
          <w:sz w:val="24"/>
          <w:szCs w:val="24"/>
          <w:lang w:eastAsia="ar-SA"/>
        </w:rPr>
        <w:t>distritais e municipais ficarão isentos da cobrança</w:t>
      </w:r>
      <w:r>
        <w:rPr>
          <w:iCs/>
          <w:kern w:val="1"/>
          <w:sz w:val="24"/>
          <w:szCs w:val="24"/>
          <w:lang w:eastAsia="ar-SA"/>
        </w:rPr>
        <w:t xml:space="preserve"> </w:t>
      </w:r>
      <w:r w:rsidRPr="00832136">
        <w:rPr>
          <w:iCs/>
          <w:kern w:val="1"/>
          <w:sz w:val="24"/>
          <w:szCs w:val="24"/>
          <w:lang w:eastAsia="ar-SA"/>
        </w:rPr>
        <w:t>de pedágio sobre os eixos que mantiverem</w:t>
      </w:r>
      <w:r>
        <w:rPr>
          <w:iCs/>
          <w:kern w:val="1"/>
          <w:sz w:val="24"/>
          <w:szCs w:val="24"/>
          <w:lang w:eastAsia="ar-SA"/>
        </w:rPr>
        <w:t xml:space="preserve"> </w:t>
      </w:r>
      <w:r w:rsidRPr="00832136">
        <w:rPr>
          <w:iCs/>
          <w:kern w:val="1"/>
          <w:sz w:val="24"/>
          <w:szCs w:val="24"/>
          <w:lang w:eastAsia="ar-SA"/>
        </w:rPr>
        <w:t>suspensos</w:t>
      </w:r>
      <w:r>
        <w:rPr>
          <w:iCs/>
          <w:kern w:val="1"/>
          <w:sz w:val="24"/>
          <w:szCs w:val="24"/>
          <w:lang w:eastAsia="ar-SA"/>
        </w:rPr>
        <w:t>.</w:t>
      </w:r>
    </w:p>
    <w:p w:rsidR="00383430" w:rsidRPr="008A065C" w:rsidRDefault="00383430" w:rsidP="00383430">
      <w:pPr>
        <w:spacing w:after="360"/>
        <w:ind w:left="1418"/>
        <w:jc w:val="both"/>
        <w:rPr>
          <w:b/>
          <w:szCs w:val="28"/>
        </w:rPr>
      </w:pPr>
      <w:r w:rsidRPr="008A065C">
        <w:rPr>
          <w:bCs/>
          <w:sz w:val="28"/>
          <w:szCs w:val="28"/>
        </w:rPr>
        <w:t xml:space="preserve">O </w:t>
      </w:r>
      <w:r w:rsidRPr="008A065C">
        <w:rPr>
          <w:bCs/>
          <w:caps/>
          <w:sz w:val="28"/>
          <w:szCs w:val="28"/>
        </w:rPr>
        <w:t>CONGRESSO NACIONAL</w:t>
      </w:r>
      <w:r w:rsidRPr="008A065C">
        <w:rPr>
          <w:bCs/>
          <w:sz w:val="28"/>
          <w:szCs w:val="28"/>
        </w:rPr>
        <w:t xml:space="preserve"> resolve:</w:t>
      </w:r>
    </w:p>
    <w:p w:rsidR="00383430" w:rsidRDefault="00383430" w:rsidP="00383430">
      <w:pPr>
        <w:pStyle w:val="10-Local-CLG"/>
        <w:ind w:firstLine="1418"/>
      </w:pPr>
      <w:r w:rsidRPr="00EF4E96">
        <w:rPr>
          <w:b/>
        </w:rPr>
        <w:t>Art. 1º</w:t>
      </w:r>
      <w:r w:rsidRPr="00EF4E96">
        <w:t xml:space="preserve"> </w:t>
      </w:r>
      <w:r>
        <w:t>A Lei nº 13.103, de 2 de março de 2015, passa a vigorar com as seguintes alterações:</w:t>
      </w:r>
    </w:p>
    <w:p w:rsidR="00383430" w:rsidRDefault="00383430" w:rsidP="00383430">
      <w:pPr>
        <w:pStyle w:val="07-Citaolegal-CLG"/>
      </w:pPr>
      <w:r w:rsidRPr="007018D4">
        <w:t>“</w:t>
      </w:r>
      <w:r w:rsidRPr="00832136">
        <w:rPr>
          <w:b/>
        </w:rPr>
        <w:t>Art. 17.</w:t>
      </w:r>
      <w:r>
        <w:t xml:space="preserve"> Em todo o território nacional, os veículos de transporte de cargas que circularem vazios ficarão isentos da cobrança de pedágio sobre os eixos que mantiverem suspensos.</w:t>
      </w:r>
    </w:p>
    <w:p w:rsidR="00383430" w:rsidRDefault="00383430" w:rsidP="00383430">
      <w:pPr>
        <w:pStyle w:val="07-Citaolegal-CLG"/>
      </w:pPr>
      <w:r>
        <w:t xml:space="preserve">§ 1º O disposto no </w:t>
      </w:r>
      <w:r w:rsidRPr="008A065C">
        <w:rPr>
          <w:i/>
        </w:rPr>
        <w:t>caput</w:t>
      </w:r>
      <w:r>
        <w:t xml:space="preserve"> abrange as vias terrestres federais, estaduais, distritais e municipais, inclusive as concedidas.</w:t>
      </w:r>
    </w:p>
    <w:p w:rsidR="00383430" w:rsidRDefault="00383430" w:rsidP="00383430">
      <w:pPr>
        <w:pStyle w:val="07-Citaolegal-CLG"/>
      </w:pPr>
      <w:r>
        <w:t xml:space="preserve">§ 2º Os órgãos e as entidades competentes da União, dos Estados, do Distrito Federal e dos Municípios disporão sobre as medidas técnicas e operacionais para viabilizar a isenção de que trata o </w:t>
      </w:r>
      <w:r w:rsidRPr="00832136">
        <w:rPr>
          <w:i/>
        </w:rPr>
        <w:t>caput</w:t>
      </w:r>
      <w:r>
        <w:t>.</w:t>
      </w:r>
    </w:p>
    <w:p w:rsidR="00383430" w:rsidRDefault="00383430" w:rsidP="00383430">
      <w:pPr>
        <w:pStyle w:val="07-Citaolegal-CLG"/>
      </w:pPr>
      <w:r>
        <w:t>§ 3º Até a implementação das medidas a que se refere o § 2º, consideram-se vazios os veículos de transporte de carga que transpuserem as praças de pedágio com um ou mais eixos que mantiverem suspensos, assegurada a fiscalização da condição pela autoridade com circunscrição sobre a via ou pelo seu agente designado na forma prevista no § 4º do art. 280 da Lei nº 9.503, de 1997 – Código de Trânsito Brasileiro.</w:t>
      </w:r>
    </w:p>
    <w:p w:rsidR="00383430" w:rsidRDefault="00383430" w:rsidP="00383430">
      <w:pPr>
        <w:pStyle w:val="07-Citaolegal-CLG"/>
      </w:pPr>
      <w:r>
        <w:t>§ 4º Para as vias rodoviárias federais concedidas ou delegadas, será adotada a regulamentação da Agência Nacional de Transportes Terrestres – ANTT.</w:t>
      </w:r>
    </w:p>
    <w:p w:rsidR="00383430" w:rsidRDefault="00383430" w:rsidP="00383430">
      <w:pPr>
        <w:pStyle w:val="07-Citaolegal-CLG"/>
      </w:pPr>
      <w:r>
        <w:t>§ 5º Ficam sujeitos à penalidade prevista no art. 209 do Código de Trânsito Brasileiro os veículos de transporte de cargas que circularem com eixos indevidamente suspensos.</w:t>
      </w:r>
    </w:p>
    <w:p w:rsidR="00383430" w:rsidRDefault="00383430" w:rsidP="00383430">
      <w:pPr>
        <w:pStyle w:val="08-Citaolegal-ltimalinha-CLG"/>
      </w:pPr>
      <w:r>
        <w:lastRenderedPageBreak/>
        <w:t xml:space="preserve">§ 6º O aumento do valor do pedágio para os usuários da rodovia para compensar a isenção de que trata o </w:t>
      </w:r>
      <w:r w:rsidRPr="00327192">
        <w:rPr>
          <w:i/>
        </w:rPr>
        <w:t>caput</w:t>
      </w:r>
      <w:r>
        <w:t xml:space="preserve"> somente será adotado após esgotadas as demais alternativas de reequilíbrio econômico-financeiro dos contratos.” (NR).</w:t>
      </w:r>
    </w:p>
    <w:p w:rsidR="00383430" w:rsidRPr="008A065C" w:rsidRDefault="00383430" w:rsidP="00383430">
      <w:pPr>
        <w:ind w:firstLine="1418"/>
        <w:rPr>
          <w:sz w:val="28"/>
          <w:szCs w:val="28"/>
        </w:rPr>
      </w:pPr>
      <w:r w:rsidRPr="008A065C">
        <w:rPr>
          <w:b/>
          <w:sz w:val="28"/>
          <w:szCs w:val="28"/>
        </w:rPr>
        <w:t>Art. 2º</w:t>
      </w:r>
      <w:r w:rsidRPr="008A065C">
        <w:rPr>
          <w:sz w:val="28"/>
          <w:szCs w:val="28"/>
        </w:rPr>
        <w:t xml:space="preserve"> Esta Lei entra em vigor na data de sua publicação.</w:t>
      </w:r>
    </w:p>
    <w:p w:rsidR="00383430" w:rsidRPr="00203FEB" w:rsidRDefault="00383430" w:rsidP="00B2587E">
      <w:pPr>
        <w:pStyle w:val="02-TtuloPrincipal-CLG"/>
        <w:rPr>
          <w:b w:val="0"/>
          <w:bCs w:val="0"/>
          <w:sz w:val="24"/>
          <w:szCs w:val="24"/>
        </w:rPr>
      </w:pPr>
    </w:p>
    <w:p w:rsidR="00A34D75" w:rsidRDefault="00A34D75" w:rsidP="00B2587E">
      <w:pPr>
        <w:pStyle w:val="10-Local-CLG"/>
      </w:pPr>
    </w:p>
    <w:p w:rsidR="00A34D75" w:rsidRDefault="00A34D75" w:rsidP="00B2587E">
      <w:pPr>
        <w:pStyle w:val="10-Local-CLG"/>
      </w:pPr>
      <w:bookmarkStart w:id="0" w:name="_GoBack"/>
      <w:bookmarkEnd w:id="0"/>
    </w:p>
    <w:p w:rsidR="00B2587E" w:rsidRDefault="00B2587E" w:rsidP="00B2587E">
      <w:pPr>
        <w:pStyle w:val="10-Local-CLG"/>
      </w:pPr>
      <w:r>
        <w:t xml:space="preserve">Sala da Comissão, </w:t>
      </w:r>
      <w:r w:rsidR="00383430">
        <w:t>19</w:t>
      </w:r>
      <w:r>
        <w:t xml:space="preserve"> de </w:t>
      </w:r>
      <w:r w:rsidR="00383430">
        <w:t>junho</w:t>
      </w:r>
      <w:r>
        <w:t xml:space="preserve"> de 20</w:t>
      </w:r>
      <w:r w:rsidR="00383430">
        <w:t>18</w:t>
      </w:r>
      <w:r>
        <w:t>.</w:t>
      </w:r>
    </w:p>
    <w:p w:rsidR="00B2587E" w:rsidRDefault="00B2587E" w:rsidP="00B2587E">
      <w:pPr>
        <w:pStyle w:val="10-Local-CLG"/>
      </w:pPr>
    </w:p>
    <w:p w:rsidR="00F05D60" w:rsidRDefault="00F05D60" w:rsidP="00B2587E">
      <w:pPr>
        <w:pStyle w:val="10-Local-CLG"/>
      </w:pP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Deputado</w:t>
      </w:r>
      <w:r w:rsidR="00383430">
        <w:t xml:space="preserve"> </w:t>
      </w:r>
      <w:r w:rsidR="00F05D60">
        <w:t>SANDRO ALEX</w:t>
      </w:r>
    </w:p>
    <w:p w:rsidR="00C50CCE" w:rsidRDefault="00B2587E" w:rsidP="00383430">
      <w:pPr>
        <w:pStyle w:val="10-Local-CLG"/>
        <w:spacing w:before="0" w:after="0"/>
        <w:ind w:firstLine="0"/>
        <w:jc w:val="center"/>
      </w:pPr>
      <w:r>
        <w:t>Presidente da Comissão</w:t>
      </w:r>
    </w:p>
    <w:sectPr w:rsidR="00C50CCE" w:rsidSect="006F333D">
      <w:footerReference w:type="default" r:id="rId6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427714">
        <w:pPr>
          <w:pStyle w:val="Rodap"/>
          <w:jc w:val="right"/>
        </w:pPr>
        <w:r>
          <w:fldChar w:fldCharType="begin"/>
        </w:r>
        <w:r w:rsidR="006F333D">
          <w:instrText>PAGE   \* MERGEFORMAT</w:instrText>
        </w:r>
        <w:r>
          <w:fldChar w:fldCharType="separate"/>
        </w:r>
        <w:r w:rsidR="00F05D60">
          <w:rPr>
            <w:noProof/>
          </w:rPr>
          <w:t>1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87E"/>
    <w:rsid w:val="0000021F"/>
    <w:rsid w:val="001C4376"/>
    <w:rsid w:val="00383430"/>
    <w:rsid w:val="00427714"/>
    <w:rsid w:val="00433CA4"/>
    <w:rsid w:val="006F333D"/>
    <w:rsid w:val="0076160F"/>
    <w:rsid w:val="00A34D75"/>
    <w:rsid w:val="00B2587E"/>
    <w:rsid w:val="00C01B98"/>
    <w:rsid w:val="00F0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3B409-9363-4022-8F62-C90A6BCB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qFormat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07-Citaolegal-CLG">
    <w:name w:val="07 - Citação legal - CLG"/>
    <w:qFormat/>
    <w:rsid w:val="00383430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Rodrigo Ribeiro Bedritichuk</cp:lastModifiedBy>
  <cp:revision>11</cp:revision>
  <cp:lastPrinted>2018-06-19T18:11:00Z</cp:lastPrinted>
  <dcterms:created xsi:type="dcterms:W3CDTF">2016-06-07T18:12:00Z</dcterms:created>
  <dcterms:modified xsi:type="dcterms:W3CDTF">2018-06-19T18:38:00Z</dcterms:modified>
</cp:coreProperties>
</file>