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02TtuloPrincipalCLG"/>
        <w:spacing w:before="600" w:after="120"/>
        <w:rPr/>
      </w:pPr>
      <w:r>
        <w:rPr/>
        <w:t xml:space="preserve">PROJETO DE LEI DE </w:t>
      </w:r>
      <w:r>
        <w:rPr>
          <w:bCs w:val="false"/>
          <w:szCs w:val="32"/>
        </w:rPr>
        <w:t>CONVERSÃO</w:t>
      </w:r>
      <w:r>
        <w:rPr/>
        <w:t xml:space="preserve"> Nº 1</w:t>
      </w:r>
      <w:bookmarkStart w:id="0" w:name="_GoBack"/>
      <w:bookmarkEnd w:id="0"/>
      <w:r>
        <w:rPr/>
        <w:t>8</w:t>
      </w:r>
      <w:r>
        <w:rPr/>
        <w:t>, DE 2017</w:t>
      </w:r>
    </w:p>
    <w:p>
      <w:pPr>
        <w:pStyle w:val="02TtuloPrincipalCLG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(Proveniente da Medida Provisória nº 770, de 2017)</w:t>
      </w:r>
    </w:p>
    <w:p>
      <w:pPr>
        <w:pStyle w:val="Normal"/>
        <w:spacing w:before="0" w:after="960"/>
        <w:ind w:left="3686" w:hanging="0"/>
        <w:jc w:val="both"/>
        <w:rPr>
          <w:rFonts w:eastAsia="Arial Unicode MS"/>
        </w:rPr>
      </w:pPr>
      <w:r>
        <w:rPr/>
        <w:t>Prorroga o prazo para utilização do Regime Especial de Tributação para Desenvolvimento da Atividade de Exibição Cinematográfica – RECINE e os benefícios fiscais previstos nos arts. 1º e 1º-A da Lei nº 8.685, de 20 de julho de 1993, e no art. 44 da Medida Provisória nº 2.228-1, de 6 de setembro de 2001.</w:t>
      </w:r>
    </w:p>
    <w:p>
      <w:pPr>
        <w:pStyle w:val="04PargrafodetextoEstudoNotasCLG"/>
        <w:rPr>
          <w:bCs/>
        </w:rPr>
      </w:pPr>
      <w:r>
        <w:rPr>
          <w:bCs/>
        </w:rPr>
        <w:t>O CONGRESSO NACIONAL decreta:</w:t>
      </w:r>
    </w:p>
    <w:p>
      <w:pPr>
        <w:pStyle w:val="04PargrafodetextoEstudoNotasCLG"/>
        <w:spacing w:lineRule="auto" w:line="240"/>
        <w:rPr/>
      </w:pPr>
      <w:r>
        <w:rPr>
          <w:b/>
        </w:rPr>
        <w:t>Art. 1º</w:t>
      </w:r>
      <w:r>
        <w:rPr/>
        <w:t xml:space="preserve"> O benefício fiscal de que trata o art. 14 da Lei nº 12.599, de 23 de março de 2012, poderá ser utilizado até 31 de dezembro de 2019.</w:t>
      </w:r>
    </w:p>
    <w:p>
      <w:pPr>
        <w:pStyle w:val="04PargrafodetextoEstudoNotasCLG"/>
        <w:spacing w:lineRule="auto" w:line="240"/>
        <w:rPr/>
      </w:pPr>
      <w:r>
        <w:rPr>
          <w:i/>
        </w:rPr>
        <w:t>Parágrafo único.</w:t>
      </w:r>
      <w:r>
        <w:rPr/>
        <w:t xml:space="preserve"> A fruição do benefício fiscal previsto no </w:t>
      </w:r>
      <w:r>
        <w:rPr>
          <w:i/>
        </w:rPr>
        <w:t>caput</w:t>
      </w:r>
      <w:r>
        <w:rPr/>
        <w:t xml:space="preserve"> fica condicionada ao disposto na Lei de Diretrizes Orçamentárias (LDO) de cada exercício financeiro.</w:t>
      </w:r>
    </w:p>
    <w:p>
      <w:pPr>
        <w:pStyle w:val="04PargrafodetextoEstudoNotasCLG"/>
        <w:spacing w:lineRule="auto" w:line="240"/>
        <w:rPr/>
      </w:pPr>
      <w:r>
        <w:rPr>
          <w:b/>
        </w:rPr>
        <w:t>Art. 2º</w:t>
      </w:r>
      <w:r>
        <w:rPr/>
        <w:t xml:space="preserve"> O art. 44 da Medida Provisória nº 2.228-1, de 6 de setembro de 2001, passa a vigorar com a seguinte redação:</w:t>
      </w:r>
    </w:p>
    <w:p>
      <w:pPr>
        <w:pStyle w:val="07CitaolegalCLG"/>
        <w:rPr/>
      </w:pPr>
      <w:r>
        <w:rPr/>
        <w:t>“</w:t>
      </w:r>
      <w:r>
        <w:rPr>
          <w:b/>
        </w:rPr>
        <w:t>Art. 44</w:t>
      </w:r>
      <w:r>
        <w:rPr/>
        <w:t>. Até o período de apuração relativo ao ano-calendário de 2019, inclusive, as pessoas físicas e jurídicas tributadas pelo lucro real poderão deduzir do imposto de renda devido as quantias aplicadas na aquisição de cotas dos Funcines.</w:t>
      </w:r>
    </w:p>
    <w:p>
      <w:pPr>
        <w:pStyle w:val="06CitaolegallinhafinalCLG"/>
        <w:rPr/>
      </w:pPr>
      <w:r>
        <w:rPr/>
        <w:t>......................................................................................” (NR)</w:t>
      </w:r>
    </w:p>
    <w:p>
      <w:pPr>
        <w:pStyle w:val="04PargrafodetextoEstudoNotasCLG"/>
        <w:spacing w:lineRule="auto" w:line="240"/>
        <w:rPr/>
      </w:pPr>
      <w:r>
        <w:rPr>
          <w:b/>
          <w:bCs/>
        </w:rPr>
        <w:t xml:space="preserve">Art. 3º </w:t>
      </w:r>
      <w:r>
        <w:rPr/>
        <w:t xml:space="preserve">A Lei nº 8.685, de 20 de julho de 1993, passa a vigorar com as seguintes alterações: </w:t>
      </w:r>
    </w:p>
    <w:p>
      <w:pPr>
        <w:pStyle w:val="07CitaolegalCLG"/>
        <w:rPr/>
      </w:pPr>
      <w:r>
        <w:rPr/>
        <w:t>“</w:t>
      </w:r>
      <w:r>
        <w:rPr>
          <w:b/>
        </w:rPr>
        <w:t>Art. 1º</w:t>
      </w:r>
      <w:r>
        <w:rPr/>
        <w:t xml:space="preserve"> Até o exercício fiscal de 2019, inclusive, os contribuintes poderão deduzir do imposto de renda devido as quantias investidas na produção de obras audiovisuais brasileiras de produção independente, mediante a aquisição de quotas representativas dos direitos de comercialização das referidas obras, desde que esses investimentos sejam realizados no mercado de capitais, em ativos previstos em lei e autorizados pela Comissão de Valores Mobiliários (CVM), e os projetos de produção tenham sido previamente aprovados pela Agência Nacional do Cinema (ANCINE).</w:t>
      </w:r>
    </w:p>
    <w:p>
      <w:pPr>
        <w:pStyle w:val="06CitaolegallinhafinalCLG"/>
        <w:rPr/>
      </w:pPr>
      <w:r>
        <w:rPr/>
        <w:t>........................................................................................” (NR)</w:t>
      </w:r>
    </w:p>
    <w:p>
      <w:pPr>
        <w:pStyle w:val="07CitaolegalCLG"/>
        <w:rPr/>
      </w:pPr>
      <w:r>
        <w:rPr/>
        <w:t>“</w:t>
      </w:r>
      <w:r>
        <w:rPr>
          <w:b/>
        </w:rPr>
        <w:t>Art. 1º-A</w:t>
      </w:r>
      <w:r>
        <w:rPr/>
        <w:t>. Até o ano-calendário de 2019, inclusive, as quantias referentes ao patrocínio à produção de obras audiovisuais brasileiras de produção independente, cujos projetos tenham sido previamente aprovados pela ANCINE, poderão ser deduzidas do imposto de renda devido apurado:</w:t>
      </w:r>
    </w:p>
    <w:p>
      <w:pPr>
        <w:pStyle w:val="06CitaolegallinhafinalCLG"/>
        <w:rPr/>
      </w:pPr>
      <w:r>
        <w:rPr/>
        <w:t>.......................................................................................” (NR)</w:t>
      </w:r>
    </w:p>
    <w:p>
      <w:pPr>
        <w:pStyle w:val="04PargrafodetextoEstudoNotasCLG"/>
        <w:spacing w:lineRule="auto" w:line="240"/>
        <w:rPr/>
      </w:pPr>
      <w:r>
        <w:rPr>
          <w:b/>
        </w:rPr>
        <w:t xml:space="preserve">Art. 4º </w:t>
      </w:r>
      <w:r>
        <w:rPr/>
        <w:t>Esta Lei entra em vigor na data de sua publicação.</w:t>
      </w:r>
    </w:p>
    <w:p>
      <w:pPr>
        <w:pStyle w:val="04PargrafodetextoEstudoNotasCLG"/>
        <w:spacing w:lineRule="auto" w:line="240"/>
        <w:rPr/>
      </w:pPr>
      <w:r>
        <w:rPr>
          <w:b/>
        </w:rPr>
        <w:t>Art. 5º</w:t>
      </w:r>
      <w:r>
        <w:rPr/>
        <w:t xml:space="preserve"> Fica revogado o § 7º do art. 14 da Lei nº 12.599, de 2012.</w:t>
      </w:r>
    </w:p>
    <w:p>
      <w:pPr>
        <w:pStyle w:val="10LocalCLG"/>
        <w:rPr/>
      </w:pPr>
      <w:r>
        <w:rPr/>
        <w:t>Sala da Comissão, 07 de junho de 2017.</w:t>
      </w:r>
    </w:p>
    <w:p>
      <w:pPr>
        <w:pStyle w:val="10LocalCLG"/>
        <w:rPr/>
      </w:pPr>
      <w:r>
        <w:rPr/>
      </w:r>
    </w:p>
    <w:p>
      <w:pPr>
        <w:pStyle w:val="10LocalCLG"/>
        <w:spacing w:before="0" w:after="0"/>
        <w:ind w:hanging="0"/>
        <w:jc w:val="center"/>
        <w:rPr/>
      </w:pPr>
      <w:r>
        <w:rPr/>
        <w:t>Senador Pedro Chaves</w:t>
      </w:r>
    </w:p>
    <w:p>
      <w:pPr>
        <w:pStyle w:val="10LocalCLG"/>
        <w:spacing w:before="0" w:after="0"/>
        <w:ind w:hanging="0"/>
        <w:jc w:val="center"/>
        <w:rPr/>
      </w:pPr>
      <w:r>
        <w:rPr/>
        <w:t>Presidente Eventual da Comissão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587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pt-BR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02TtuloPrincipalCLGChar" w:customStyle="1">
    <w:name w:val="02 - Título Principal - CLG Char"/>
    <w:link w:val="02-TtuloPrincipal-CLG"/>
    <w:qFormat/>
    <w:rsid w:val="00b2587e"/>
    <w:rPr>
      <w:rFonts w:ascii="Times New Roman" w:hAnsi="Times New Roman" w:eastAsia="Times New Roman" w:cs="Times New Roman"/>
      <w:b/>
      <w:bCs/>
      <w:sz w:val="32"/>
      <w:szCs w:val="20"/>
      <w:lang w:eastAsia="pt-BR"/>
    </w:rPr>
  </w:style>
  <w:style w:type="character" w:styleId="03EmentaCLGCharChar" w:customStyle="1">
    <w:name w:val="03 - Ementa - CLG Char Char"/>
    <w:link w:val="03-Ementa-CLG"/>
    <w:qFormat/>
    <w:rsid w:val="00b2587e"/>
    <w:rPr>
      <w:rFonts w:ascii="Times New Roman" w:hAnsi="Times New Roman" w:eastAsia="Arial Unicode MS" w:cs="Times New Roman"/>
      <w:sz w:val="24"/>
      <w:szCs w:val="24"/>
      <w:lang w:eastAsia="pt-BR"/>
    </w:rPr>
  </w:style>
  <w:style w:type="character" w:styleId="06PargrafodetextoCLGChar" w:customStyle="1">
    <w:name w:val="06 - Parágrafo de texto - CLG Char"/>
    <w:link w:val="06-Pargrafodetexto-CLG"/>
    <w:qFormat/>
    <w:rsid w:val="00b2587e"/>
    <w:rPr>
      <w:rFonts w:ascii="Times New Roman" w:hAnsi="Times New Roman" w:eastAsia="Times New Roman" w:cs="Times New Roman"/>
      <w:sz w:val="28"/>
      <w:szCs w:val="20"/>
      <w:lang w:eastAsia="pt-BR"/>
    </w:rPr>
  </w:style>
  <w:style w:type="character" w:styleId="10LocalCLGChar" w:customStyle="1">
    <w:name w:val="10 - Local - CLG Char"/>
    <w:link w:val="10-Local-CLG"/>
    <w:qFormat/>
    <w:rsid w:val="00b2587e"/>
    <w:rPr>
      <w:rFonts w:ascii="Times New Roman" w:hAnsi="Times New Roman" w:eastAsia="Times New Roman" w:cs="Times New Roman"/>
      <w:sz w:val="28"/>
      <w:szCs w:val="20"/>
      <w:lang w:eastAsia="pt-BR"/>
    </w:rPr>
  </w:style>
  <w:style w:type="character" w:styleId="05CitaolegallinhasiniciaisCLGChar" w:customStyle="1">
    <w:name w:val="05 - Citação legal - linhas iniciais - CLG Char"/>
    <w:link w:val="05-Citaolegal-linhasiniciais-CLG"/>
    <w:qFormat/>
    <w:rsid w:val="00b2587e"/>
    <w:rPr>
      <w:rFonts w:ascii="Times New Roman" w:hAnsi="Times New Roman" w:eastAsia="Times New Roman" w:cs="Times New Roman"/>
      <w:bCs/>
      <w:sz w:val="24"/>
      <w:szCs w:val="20"/>
      <w:lang w:eastAsia="pt-BR"/>
    </w:rPr>
  </w:style>
  <w:style w:type="character" w:styleId="08CitaolegalltimalinhaCLGChar" w:customStyle="1">
    <w:name w:val="08 - Citação legal - última linha - CLG Char"/>
    <w:basedOn w:val="DefaultParagraphFont"/>
    <w:link w:val="08-Citaolegal-ltimalinha-CLG"/>
    <w:qFormat/>
    <w:rsid w:val="00b2587e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11AssinaturasCLGChar" w:customStyle="1">
    <w:name w:val="11 - Assinaturas - CLG Char"/>
    <w:basedOn w:val="DefaultParagraphFont"/>
    <w:link w:val="11-Assinaturas-CLG"/>
    <w:qFormat/>
    <w:rsid w:val="001b0377"/>
    <w:rPr>
      <w:rFonts w:ascii="Times New Roman" w:hAnsi="Times New Roman" w:eastAsia="Times New Roman" w:cs="Times New Roman"/>
      <w:sz w:val="28"/>
      <w:szCs w:val="20"/>
      <w:lang w:eastAsia="pt-BR"/>
    </w:rPr>
  </w:style>
  <w:style w:type="character" w:styleId="04PargrafodetextoEstudoNotasCLGChar" w:customStyle="1">
    <w:name w:val="04 - Parágrafo de texto Estudo Notas - CLG Char"/>
    <w:basedOn w:val="DefaultParagraphFont"/>
    <w:link w:val="04-PargrafodetextoEstudoNotas-CLG"/>
    <w:qFormat/>
    <w:rsid w:val="001b0377"/>
    <w:rPr>
      <w:rFonts w:ascii="Times New Roman" w:hAnsi="Times New Roman" w:eastAsia="Times New Roman" w:cs="Times New Roman"/>
      <w:sz w:val="28"/>
      <w:szCs w:val="20"/>
      <w:lang w:eastAsia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9a4f68"/>
    <w:rPr>
      <w:rFonts w:ascii="Segoe UI" w:hAnsi="Segoe UI" w:eastAsia="Times New Roman" w:cs="Segoe UI"/>
      <w:sz w:val="18"/>
      <w:szCs w:val="18"/>
      <w:lang w:eastAsia="pt-BR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02TtuloPrincipalCLG" w:customStyle="1">
    <w:name w:val="02 - Título Principal - CLG"/>
    <w:link w:val="02-TtuloPrincipal-CLGChar"/>
    <w:qFormat/>
    <w:rsid w:val="00b2587e"/>
    <w:pPr>
      <w:widowControl/>
      <w:bidi w:val="0"/>
      <w:spacing w:lineRule="auto" w:line="240" w:before="0" w:after="960"/>
      <w:jc w:val="center"/>
    </w:pPr>
    <w:rPr>
      <w:rFonts w:ascii="Times New Roman" w:hAnsi="Times New Roman" w:eastAsia="Times New Roman" w:cs="Times New Roman"/>
      <w:b/>
      <w:bCs/>
      <w:color w:val="auto"/>
      <w:sz w:val="32"/>
      <w:szCs w:val="20"/>
      <w:lang w:eastAsia="pt-BR" w:val="pt-BR" w:bidi="ar-SA"/>
    </w:rPr>
  </w:style>
  <w:style w:type="paragraph" w:styleId="03EmentaCLG" w:customStyle="1">
    <w:name w:val="03 - Ementa - CLG"/>
    <w:link w:val="03-Ementa-CLGCharChar"/>
    <w:qFormat/>
    <w:rsid w:val="00b2587e"/>
    <w:pPr>
      <w:widowControl/>
      <w:bidi w:val="0"/>
      <w:spacing w:lineRule="auto" w:line="240" w:before="0" w:after="960"/>
      <w:ind w:left="3686" w:hanging="0"/>
      <w:jc w:val="both"/>
    </w:pPr>
    <w:rPr>
      <w:rFonts w:ascii="Times New Roman" w:hAnsi="Times New Roman" w:eastAsia="Arial Unicode MS" w:cs="Times New Roman"/>
      <w:color w:val="auto"/>
      <w:sz w:val="24"/>
      <w:szCs w:val="24"/>
      <w:lang w:eastAsia="pt-BR" w:val="pt-BR" w:bidi="ar-SA"/>
    </w:rPr>
  </w:style>
  <w:style w:type="paragraph" w:styleId="06PargrafodetextoCLG" w:customStyle="1">
    <w:name w:val="06 - Parágrafo de texto - CLG"/>
    <w:link w:val="06-Pargrafodetexto-CLGChar"/>
    <w:qFormat/>
    <w:rsid w:val="00b2587e"/>
    <w:pPr>
      <w:widowControl/>
      <w:bidi w:val="0"/>
      <w:spacing w:lineRule="auto" w:line="240" w:before="0" w:after="360"/>
      <w:ind w:firstLine="1418"/>
      <w:jc w:val="both"/>
    </w:pPr>
    <w:rPr>
      <w:rFonts w:ascii="Times New Roman" w:hAnsi="Times New Roman" w:eastAsia="Times New Roman" w:cs="Times New Roman"/>
      <w:color w:val="auto"/>
      <w:sz w:val="28"/>
      <w:szCs w:val="20"/>
      <w:lang w:eastAsia="pt-BR" w:val="pt-BR" w:bidi="ar-SA"/>
    </w:rPr>
  </w:style>
  <w:style w:type="paragraph" w:styleId="08CitaolegalltimalinhaCLG" w:customStyle="1">
    <w:name w:val="08 - Citação legal - última linha - CLG"/>
    <w:link w:val="08-Citaolegal-ltimalinha-CLGChar"/>
    <w:qFormat/>
    <w:rsid w:val="00b2587e"/>
    <w:pPr>
      <w:widowControl/>
      <w:bidi w:val="0"/>
      <w:spacing w:lineRule="auto" w:line="240" w:before="0" w:after="480"/>
      <w:ind w:left="1985" w:firstLine="567"/>
      <w:jc w:val="both"/>
    </w:pPr>
    <w:rPr>
      <w:rFonts w:ascii="Times New Roman" w:hAnsi="Times New Roman" w:eastAsia="Times New Roman" w:cs="Times New Roman"/>
      <w:color w:val="auto"/>
      <w:sz w:val="24"/>
      <w:szCs w:val="20"/>
      <w:lang w:eastAsia="pt-BR" w:val="pt-BR" w:bidi="ar-SA"/>
    </w:rPr>
  </w:style>
  <w:style w:type="paragraph" w:styleId="10LocalCLG" w:customStyle="1">
    <w:name w:val="10 - Local - CLG"/>
    <w:link w:val="10-Local-CLGChar"/>
    <w:qFormat/>
    <w:rsid w:val="00b2587e"/>
    <w:pPr>
      <w:widowControl/>
      <w:bidi w:val="0"/>
      <w:spacing w:lineRule="auto" w:line="240" w:before="960" w:after="720"/>
      <w:ind w:firstLine="2520"/>
      <w:jc w:val="both"/>
    </w:pPr>
    <w:rPr>
      <w:rFonts w:ascii="Times New Roman" w:hAnsi="Times New Roman" w:eastAsia="Times New Roman" w:cs="Times New Roman"/>
      <w:color w:val="auto"/>
      <w:sz w:val="28"/>
      <w:szCs w:val="20"/>
      <w:lang w:eastAsia="pt-BR" w:val="pt-BR" w:bidi="ar-SA"/>
    </w:rPr>
  </w:style>
  <w:style w:type="paragraph" w:styleId="06CitaolegallinhafinalCLG" w:customStyle="1">
    <w:name w:val="06 - Citação legal - linha final - CLG"/>
    <w:qFormat/>
    <w:rsid w:val="00b2587e"/>
    <w:pPr>
      <w:widowControl/>
      <w:bidi w:val="0"/>
      <w:spacing w:lineRule="auto" w:line="240" w:before="0" w:after="480"/>
      <w:ind w:left="1985" w:firstLine="567"/>
      <w:jc w:val="both"/>
    </w:pPr>
    <w:rPr>
      <w:rFonts w:ascii="Times New Roman" w:hAnsi="Times New Roman" w:eastAsia="Times New Roman" w:cs="Times New Roman"/>
      <w:color w:val="auto"/>
      <w:sz w:val="24"/>
      <w:szCs w:val="20"/>
      <w:lang w:eastAsia="pt-BR" w:val="pt-BR" w:bidi="ar-SA"/>
    </w:rPr>
  </w:style>
  <w:style w:type="paragraph" w:styleId="05CitaolegallinhasiniciaisCLG" w:customStyle="1">
    <w:name w:val="05 - Citação legal - linhas iniciais - CLG"/>
    <w:link w:val="05-Citaolegal-linhasiniciais-CLGChar"/>
    <w:qFormat/>
    <w:rsid w:val="00b2587e"/>
    <w:pPr>
      <w:widowControl/>
      <w:bidi w:val="0"/>
      <w:spacing w:lineRule="auto" w:line="240" w:before="0" w:after="120"/>
      <w:ind w:left="1985" w:firstLine="567"/>
      <w:jc w:val="both"/>
    </w:pPr>
    <w:rPr>
      <w:rFonts w:ascii="Times New Roman" w:hAnsi="Times New Roman" w:eastAsia="Times New Roman" w:cs="Times New Roman"/>
      <w:bCs/>
      <w:color w:val="auto"/>
      <w:sz w:val="24"/>
      <w:szCs w:val="20"/>
      <w:lang w:eastAsia="pt-BR" w:val="pt-BR" w:bidi="ar-SA"/>
    </w:rPr>
  </w:style>
  <w:style w:type="paragraph" w:styleId="11AssinaturasCLG" w:customStyle="1">
    <w:name w:val="11 - Assinaturas - CLG"/>
    <w:link w:val="11-Assinaturas-CLGChar"/>
    <w:qFormat/>
    <w:rsid w:val="001b0377"/>
    <w:pPr>
      <w:widowControl/>
      <w:bidi w:val="0"/>
      <w:spacing w:lineRule="auto" w:line="240" w:before="0" w:after="960"/>
      <w:ind w:left="6240" w:hanging="0"/>
      <w:jc w:val="both"/>
    </w:pPr>
    <w:rPr>
      <w:rFonts w:ascii="Times New Roman" w:hAnsi="Times New Roman" w:eastAsia="Times New Roman" w:cs="Times New Roman"/>
      <w:color w:val="auto"/>
      <w:sz w:val="28"/>
      <w:szCs w:val="20"/>
      <w:lang w:eastAsia="pt-BR" w:val="pt-BR" w:bidi="ar-SA"/>
    </w:rPr>
  </w:style>
  <w:style w:type="paragraph" w:styleId="07CitaolegalCLG" w:customStyle="1">
    <w:name w:val="07 - Citação legal - CLG"/>
    <w:qFormat/>
    <w:rsid w:val="001b0377"/>
    <w:pPr>
      <w:widowControl/>
      <w:bidi w:val="0"/>
      <w:spacing w:lineRule="auto" w:line="240" w:before="0" w:after="120"/>
      <w:ind w:left="1985" w:firstLine="567"/>
      <w:jc w:val="both"/>
    </w:pPr>
    <w:rPr>
      <w:rFonts w:ascii="Times New Roman" w:hAnsi="Times New Roman" w:eastAsia="Times New Roman" w:cs="Times New Roman"/>
      <w:bCs/>
      <w:color w:val="auto"/>
      <w:sz w:val="24"/>
      <w:szCs w:val="20"/>
      <w:lang w:eastAsia="pt-BR" w:val="pt-BR" w:bidi="ar-SA"/>
    </w:rPr>
  </w:style>
  <w:style w:type="paragraph" w:styleId="04PargrafodetextoEstudoNotasCLG" w:customStyle="1">
    <w:name w:val="04 - Parágrafo de texto Estudo Notas - CLG"/>
    <w:link w:val="04-PargrafodetextoEstudoNotas-CLGChar"/>
    <w:qFormat/>
    <w:rsid w:val="001b0377"/>
    <w:pPr>
      <w:widowControl/>
      <w:bidi w:val="0"/>
      <w:spacing w:lineRule="auto" w:line="360" w:before="0" w:after="360"/>
      <w:ind w:firstLine="1418"/>
      <w:jc w:val="both"/>
    </w:pPr>
    <w:rPr>
      <w:rFonts w:ascii="Times New Roman" w:hAnsi="Times New Roman" w:eastAsia="Times New Roman" w:cs="Times New Roman"/>
      <w:color w:val="auto"/>
      <w:sz w:val="28"/>
      <w:szCs w:val="20"/>
      <w:lang w:eastAsia="pt-BR" w:val="pt-BR" w:bidi="ar-SA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a4f6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LibreOffice/5.1.6.2$Linux_X86_64 LibreOffice_project/10m0$Build-2</Application>
  <Pages>2</Pages>
  <Words>377</Words>
  <Characters>2155</Characters>
  <CharactersWithSpaces>2515</CharactersWithSpaces>
  <Paragraphs>19</Paragraphs>
  <Company>Senado Federal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2016-06-07T18:12:00Z</dcterms:created>
  <dc:creator>Clarissa Kiwa Scarton Hayashi</dc:creator>
  <dc:description/>
  <dc:language>pt-BR</dc:language>
  <cp:lastModifiedBy/>
  <cp:lastPrinted>2017-06-07T19:36:00Z</cp:lastPrinted>
  <dcterms:modified xsi:type="dcterms:W3CDTF">2017-06-07T18:38:17Z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Senado Federal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