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903" w:rsidRDefault="00A13903" w:rsidP="00A13903">
      <w:pPr>
        <w:spacing w:after="160" w:line="259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bookmarkStart w:id="0" w:name="_Hlk25052341"/>
      <w:r w:rsidRPr="00A13903">
        <w:rPr>
          <w:rFonts w:ascii="Arial" w:eastAsia="Calibri" w:hAnsi="Arial" w:cs="Arial"/>
          <w:b/>
          <w:bCs/>
          <w:sz w:val="24"/>
          <w:szCs w:val="24"/>
        </w:rPr>
        <w:t>COMISSÃO MISTA DA MEDIDA PROVISÓRIA 905/2019</w:t>
      </w:r>
    </w:p>
    <w:p w:rsidR="00A13903" w:rsidRPr="00A13903" w:rsidRDefault="00A13903" w:rsidP="00A13903">
      <w:pPr>
        <w:spacing w:after="160" w:line="259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:rsidR="00A13903" w:rsidRPr="00A13903" w:rsidRDefault="000A4155" w:rsidP="00A13903">
      <w:pPr>
        <w:spacing w:after="160" w:line="259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hyperlink r:id="rId7" w:history="1">
        <w:r w:rsidR="00A13903" w:rsidRPr="00A13903">
          <w:rPr>
            <w:rFonts w:ascii="Arial" w:eastAsia="Calibri" w:hAnsi="Arial" w:cs="Arial"/>
            <w:b/>
            <w:sz w:val="24"/>
            <w:szCs w:val="24"/>
          </w:rPr>
          <w:t>MEDIDA PROVISÓRIA Nº 905, DE</w:t>
        </w:r>
      </w:hyperlink>
      <w:r w:rsidR="00A13903" w:rsidRPr="00A13903">
        <w:rPr>
          <w:rFonts w:ascii="Arial" w:eastAsia="Calibri" w:hAnsi="Arial" w:cs="Arial"/>
          <w:b/>
          <w:bCs/>
          <w:sz w:val="24"/>
          <w:szCs w:val="24"/>
        </w:rPr>
        <w:t xml:space="preserve"> 11 DE NOVEMBRO DE </w:t>
      </w:r>
      <w:proofErr w:type="gramStart"/>
      <w:r w:rsidR="00A13903" w:rsidRPr="00A13903">
        <w:rPr>
          <w:rFonts w:ascii="Arial" w:eastAsia="Calibri" w:hAnsi="Arial" w:cs="Arial"/>
          <w:b/>
          <w:bCs/>
          <w:sz w:val="24"/>
          <w:szCs w:val="24"/>
        </w:rPr>
        <w:t>2019</w:t>
      </w:r>
      <w:proofErr w:type="gramEnd"/>
    </w:p>
    <w:p w:rsidR="00A13903" w:rsidRPr="00A13903" w:rsidRDefault="00A13903" w:rsidP="00A13903">
      <w:pPr>
        <w:spacing w:after="160" w:line="259" w:lineRule="auto"/>
        <w:ind w:left="3540"/>
        <w:jc w:val="both"/>
        <w:rPr>
          <w:rFonts w:ascii="Arial" w:eastAsia="Calibri" w:hAnsi="Arial" w:cs="Arial"/>
          <w:sz w:val="24"/>
          <w:szCs w:val="24"/>
          <w:shd w:val="clear" w:color="auto" w:fill="FFFFFF"/>
        </w:rPr>
      </w:pPr>
    </w:p>
    <w:p w:rsidR="00A13903" w:rsidRPr="00A13903" w:rsidRDefault="00A13903" w:rsidP="00A13903">
      <w:pPr>
        <w:spacing w:after="160" w:line="259" w:lineRule="auto"/>
        <w:ind w:left="3540" w:firstLine="708"/>
        <w:jc w:val="both"/>
        <w:rPr>
          <w:rFonts w:ascii="Arial" w:eastAsia="Calibri" w:hAnsi="Arial" w:cs="Arial"/>
          <w:sz w:val="24"/>
          <w:szCs w:val="24"/>
          <w:shd w:val="clear" w:color="auto" w:fill="FFFFFF"/>
        </w:rPr>
      </w:pPr>
      <w:r w:rsidRPr="00A13903">
        <w:rPr>
          <w:rFonts w:ascii="Arial" w:eastAsia="Calibri" w:hAnsi="Arial" w:cs="Arial"/>
          <w:sz w:val="24"/>
          <w:szCs w:val="24"/>
          <w:shd w:val="clear" w:color="auto" w:fill="FFFFFF"/>
        </w:rPr>
        <w:t>Institui o Contrato de Trabalho Verde e Amarelo, altera a legislação trabalhista, e dá outras providências</w:t>
      </w:r>
      <w:r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. </w:t>
      </w:r>
    </w:p>
    <w:p w:rsidR="00A13903" w:rsidRPr="00A13903" w:rsidRDefault="00A13903" w:rsidP="00A13903">
      <w:pPr>
        <w:spacing w:after="160" w:line="259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bookmarkStart w:id="1" w:name="_Hlk25052354"/>
      <w:bookmarkEnd w:id="0"/>
    </w:p>
    <w:p w:rsidR="00A13903" w:rsidRPr="00A13903" w:rsidRDefault="00A13903" w:rsidP="00A13903">
      <w:pPr>
        <w:spacing w:after="160" w:line="259" w:lineRule="auto"/>
        <w:jc w:val="center"/>
        <w:rPr>
          <w:rFonts w:ascii="Arial" w:eastAsia="Calibri" w:hAnsi="Arial" w:cs="Arial"/>
          <w:sz w:val="24"/>
          <w:szCs w:val="24"/>
        </w:rPr>
      </w:pPr>
      <w:r w:rsidRPr="00A13903">
        <w:rPr>
          <w:rFonts w:ascii="Arial" w:eastAsia="Calibri" w:hAnsi="Arial" w:cs="Arial"/>
          <w:b/>
          <w:bCs/>
          <w:sz w:val="24"/>
          <w:szCs w:val="24"/>
        </w:rPr>
        <w:t xml:space="preserve">PROPOSTA DE </w:t>
      </w:r>
      <w:r w:rsidRPr="00A13903">
        <w:rPr>
          <w:rFonts w:ascii="Arial" w:eastAsia="Calibri" w:hAnsi="Arial" w:cs="Arial"/>
          <w:b/>
          <w:sz w:val="24"/>
          <w:szCs w:val="24"/>
        </w:rPr>
        <w:t>EMENDA MODIFICATIVA</w:t>
      </w:r>
      <w:r>
        <w:rPr>
          <w:rFonts w:ascii="Arial" w:eastAsia="Calibri" w:hAnsi="Arial" w:cs="Arial"/>
          <w:b/>
          <w:sz w:val="24"/>
          <w:szCs w:val="24"/>
        </w:rPr>
        <w:t xml:space="preserve"> Nº </w:t>
      </w:r>
    </w:p>
    <w:bookmarkEnd w:id="1"/>
    <w:p w:rsidR="00A13903" w:rsidRPr="00A13903" w:rsidRDefault="00A13903" w:rsidP="00A13903">
      <w:pPr>
        <w:spacing w:after="160" w:line="259" w:lineRule="auto"/>
        <w:jc w:val="both"/>
        <w:rPr>
          <w:rFonts w:ascii="Arial" w:eastAsia="Calibri" w:hAnsi="Arial" w:cs="Arial"/>
          <w:sz w:val="24"/>
          <w:szCs w:val="24"/>
        </w:rPr>
      </w:pPr>
    </w:p>
    <w:p w:rsidR="00A13903" w:rsidRPr="00A13903" w:rsidRDefault="00A13903" w:rsidP="00A13903">
      <w:pPr>
        <w:spacing w:after="160" w:line="259" w:lineRule="auto"/>
        <w:ind w:left="1416"/>
        <w:jc w:val="both"/>
        <w:rPr>
          <w:rFonts w:ascii="Arial" w:eastAsia="Calibri" w:hAnsi="Arial" w:cs="Arial"/>
          <w:noProof/>
          <w:sz w:val="24"/>
          <w:szCs w:val="24"/>
          <w:shd w:val="clear" w:color="auto" w:fill="FFFFFF"/>
        </w:rPr>
      </w:pPr>
      <w:r w:rsidRPr="00A13903">
        <w:rPr>
          <w:rFonts w:ascii="Arial" w:eastAsia="Calibri" w:hAnsi="Arial" w:cs="Arial"/>
          <w:noProof/>
          <w:sz w:val="24"/>
          <w:szCs w:val="24"/>
          <w:shd w:val="clear" w:color="auto" w:fill="FFFFFF"/>
        </w:rPr>
        <w:t>Dê-se ao art. 635 da CLT constantes do art. 28 da MP 905/2019 a seguinte redação:</w:t>
      </w:r>
    </w:p>
    <w:p w:rsidR="00A13903" w:rsidRPr="00A13903" w:rsidRDefault="000A4155" w:rsidP="00A13903">
      <w:pPr>
        <w:spacing w:before="100" w:beforeAutospacing="1" w:after="100" w:afterAutospacing="1" w:line="259" w:lineRule="auto"/>
        <w:ind w:left="1985"/>
        <w:jc w:val="both"/>
        <w:rPr>
          <w:rFonts w:ascii="Arial" w:eastAsia="Calibri" w:hAnsi="Arial" w:cs="Arial"/>
          <w:sz w:val="24"/>
          <w:szCs w:val="24"/>
        </w:rPr>
      </w:pPr>
      <w:hyperlink r:id="rId8" w:anchor="art635.." w:history="1">
        <w:r w:rsidR="00A13903" w:rsidRPr="00A13903">
          <w:rPr>
            <w:rFonts w:ascii="Arial" w:eastAsia="Calibri" w:hAnsi="Arial" w:cs="Arial"/>
            <w:color w:val="0000FF"/>
            <w:sz w:val="24"/>
            <w:szCs w:val="24"/>
            <w:u w:val="single"/>
          </w:rPr>
          <w:t>“Art. 635</w:t>
        </w:r>
      </w:hyperlink>
      <w:r w:rsidR="00A13903" w:rsidRPr="00A13903">
        <w:rPr>
          <w:rFonts w:ascii="Arial" w:eastAsia="Calibri" w:hAnsi="Arial" w:cs="Arial"/>
          <w:sz w:val="24"/>
          <w:szCs w:val="24"/>
        </w:rPr>
        <w:t>.  Caberá recurso, em segunda instância administrativa, de toda decisão que impuser a aplicação de multa por infração das leis e das disposições reguladoras do trabalho, para a unidade competente para o julgamento de recursos da Subsecretaria de Inspeção do Trabalho da Secretaria de Trabalho da Secretaria Especial de Previdência e Trabalho do Ministério da Economia.</w:t>
      </w:r>
    </w:p>
    <w:p w:rsidR="00A13903" w:rsidRPr="00A13903" w:rsidRDefault="00A13903" w:rsidP="00A13903">
      <w:pPr>
        <w:spacing w:after="160" w:line="259" w:lineRule="auto"/>
        <w:ind w:left="1416"/>
        <w:jc w:val="both"/>
        <w:rPr>
          <w:rFonts w:ascii="Arial" w:eastAsia="Calibri" w:hAnsi="Arial" w:cs="Arial"/>
          <w:noProof/>
          <w:sz w:val="24"/>
          <w:szCs w:val="24"/>
          <w:shd w:val="clear" w:color="auto" w:fill="FFFFFF"/>
        </w:rPr>
      </w:pPr>
    </w:p>
    <w:p w:rsidR="00A13903" w:rsidRPr="00A13903" w:rsidRDefault="00A13903" w:rsidP="00A13903">
      <w:pPr>
        <w:spacing w:after="160" w:line="259" w:lineRule="auto"/>
        <w:ind w:left="1416"/>
        <w:jc w:val="both"/>
        <w:rPr>
          <w:rFonts w:ascii="Arial" w:eastAsia="Calibri" w:hAnsi="Arial" w:cs="Arial"/>
          <w:noProof/>
          <w:sz w:val="24"/>
          <w:szCs w:val="24"/>
          <w:shd w:val="clear" w:color="auto" w:fill="FFFFFF"/>
        </w:rPr>
      </w:pPr>
      <w:r w:rsidRPr="00A13903">
        <w:rPr>
          <w:rFonts w:ascii="Arial" w:eastAsia="Calibri" w:hAnsi="Arial" w:cs="Arial"/>
          <w:noProof/>
          <w:sz w:val="24"/>
          <w:szCs w:val="24"/>
          <w:shd w:val="clear" w:color="auto" w:fill="FFFFFF"/>
        </w:rPr>
        <w:t xml:space="preserve">Dê-se ao inciso II do art. 638 da CLT constantes do art. 28 da MP 905/2019 a seguinte redação: </w:t>
      </w:r>
    </w:p>
    <w:p w:rsidR="00A13903" w:rsidRPr="00A13903" w:rsidRDefault="00A13903" w:rsidP="00A13903">
      <w:pPr>
        <w:spacing w:before="100" w:beforeAutospacing="1" w:after="100" w:afterAutospacing="1" w:line="240" w:lineRule="auto"/>
        <w:ind w:left="1985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13903">
        <w:rPr>
          <w:rFonts w:ascii="Arial" w:eastAsia="Times New Roman" w:hAnsi="Arial" w:cs="Arial"/>
          <w:sz w:val="24"/>
          <w:szCs w:val="24"/>
          <w:lang w:eastAsia="pt-BR"/>
        </w:rPr>
        <w:t xml:space="preserve">II - segunda instância. </w:t>
      </w:r>
    </w:p>
    <w:p w:rsidR="00A13903" w:rsidRPr="00A13903" w:rsidRDefault="00A13903" w:rsidP="00A13903">
      <w:pPr>
        <w:spacing w:before="100" w:beforeAutospacing="1" w:after="100" w:afterAutospacing="1" w:line="240" w:lineRule="auto"/>
        <w:ind w:left="1985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A13903" w:rsidRPr="00A13903" w:rsidRDefault="00A13903" w:rsidP="00A13903">
      <w:pPr>
        <w:spacing w:after="160" w:line="259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A13903">
        <w:rPr>
          <w:rFonts w:ascii="Arial" w:eastAsia="Calibri" w:hAnsi="Arial" w:cs="Arial"/>
          <w:b/>
          <w:bCs/>
          <w:sz w:val="24"/>
          <w:szCs w:val="24"/>
        </w:rPr>
        <w:t xml:space="preserve">PROPOSTA DE EMENDA SUPRESSIVA </w:t>
      </w:r>
    </w:p>
    <w:p w:rsidR="00A13903" w:rsidRPr="00A13903" w:rsidRDefault="00A13903" w:rsidP="00A13903">
      <w:pPr>
        <w:spacing w:after="160" w:line="259" w:lineRule="auto"/>
        <w:jc w:val="both"/>
        <w:rPr>
          <w:rFonts w:ascii="Arial" w:eastAsia="Calibri" w:hAnsi="Arial" w:cs="Arial"/>
          <w:sz w:val="24"/>
          <w:szCs w:val="24"/>
        </w:rPr>
      </w:pPr>
    </w:p>
    <w:p w:rsidR="00A13903" w:rsidRPr="00A13903" w:rsidRDefault="00A13903" w:rsidP="00A13903">
      <w:pPr>
        <w:spacing w:after="160" w:line="259" w:lineRule="auto"/>
        <w:ind w:left="1416"/>
        <w:jc w:val="both"/>
        <w:rPr>
          <w:rFonts w:ascii="Arial" w:eastAsia="Calibri" w:hAnsi="Arial" w:cs="Arial"/>
          <w:noProof/>
          <w:sz w:val="24"/>
          <w:szCs w:val="24"/>
          <w:shd w:val="clear" w:color="auto" w:fill="FFFFFF"/>
        </w:rPr>
      </w:pPr>
      <w:r w:rsidRPr="00A13903">
        <w:rPr>
          <w:rFonts w:ascii="Arial" w:eastAsia="Calibri" w:hAnsi="Arial" w:cs="Arial"/>
          <w:noProof/>
          <w:sz w:val="24"/>
          <w:szCs w:val="24"/>
          <w:shd w:val="clear" w:color="auto" w:fill="FFFFFF"/>
        </w:rPr>
        <w:t>Suprima-se o disposto no § 2º art. 635 da CLT, constante do art. 28 da MP 905/2019:</w:t>
      </w:r>
    </w:p>
    <w:p w:rsidR="00A13903" w:rsidRPr="00A13903" w:rsidRDefault="00A13903" w:rsidP="00A13903">
      <w:pPr>
        <w:spacing w:before="100" w:beforeAutospacing="1" w:after="100" w:afterAutospacing="1" w:line="240" w:lineRule="auto"/>
        <w:ind w:left="1985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13903">
        <w:rPr>
          <w:rFonts w:ascii="Arial" w:eastAsia="Times New Roman" w:hAnsi="Arial" w:cs="Arial"/>
          <w:sz w:val="24"/>
          <w:szCs w:val="24"/>
          <w:lang w:eastAsia="pt-BR"/>
        </w:rPr>
        <w:t xml:space="preserve">§ 2º  A decisão de recursos em segunda e última instância administrativa poderá valer-se de conselho recursal paritário, tripartite, integrante da estrutura da Secretaria de Trabalho da Secretaria Especial de Previdência e Trabalho do Ministério da Economia, composto por representantes dos trabalhadores, dos empregadores e dos Auditores Fiscais do Trabalho, designados pelo Secretário Especial de Previdência e Trabalho </w:t>
      </w:r>
      <w:r w:rsidRPr="00A13903">
        <w:rPr>
          <w:rFonts w:ascii="Arial" w:eastAsia="Times New Roman" w:hAnsi="Arial" w:cs="Arial"/>
          <w:sz w:val="24"/>
          <w:szCs w:val="24"/>
          <w:lang w:eastAsia="pt-BR"/>
        </w:rPr>
        <w:lastRenderedPageBreak/>
        <w:t>do Ministério da Economia, na forma e nos prazos estabelecidos em regulamento.” (NR)</w:t>
      </w:r>
    </w:p>
    <w:p w:rsidR="00A13903" w:rsidRPr="00A13903" w:rsidRDefault="00A13903" w:rsidP="00A13903">
      <w:pPr>
        <w:spacing w:after="160" w:line="259" w:lineRule="auto"/>
        <w:ind w:left="1416"/>
        <w:jc w:val="both"/>
        <w:rPr>
          <w:rFonts w:ascii="Arial" w:eastAsia="Calibri" w:hAnsi="Arial" w:cs="Arial"/>
          <w:noProof/>
          <w:sz w:val="24"/>
          <w:szCs w:val="24"/>
          <w:shd w:val="clear" w:color="auto" w:fill="FFFFFF"/>
        </w:rPr>
      </w:pPr>
      <w:r w:rsidRPr="00A13903">
        <w:rPr>
          <w:rFonts w:ascii="Arial" w:eastAsia="Calibri" w:hAnsi="Arial" w:cs="Arial"/>
          <w:noProof/>
          <w:sz w:val="24"/>
          <w:szCs w:val="24"/>
          <w:shd w:val="clear" w:color="auto" w:fill="FFFFFF"/>
        </w:rPr>
        <w:t>Suprima-se a alteração ao art. 637-A da CLT constante do art. 28 da MP 905/2019, com a seguinte redação:</w:t>
      </w:r>
    </w:p>
    <w:p w:rsidR="00A13903" w:rsidRPr="00A13903" w:rsidRDefault="000A4155" w:rsidP="00A13903">
      <w:pPr>
        <w:spacing w:before="100" w:beforeAutospacing="1" w:after="100" w:afterAutospacing="1" w:line="259" w:lineRule="auto"/>
        <w:ind w:left="1985"/>
        <w:jc w:val="both"/>
        <w:rPr>
          <w:rFonts w:ascii="Arial" w:eastAsia="Calibri" w:hAnsi="Arial" w:cs="Arial"/>
          <w:sz w:val="24"/>
          <w:szCs w:val="24"/>
        </w:rPr>
      </w:pPr>
      <w:hyperlink r:id="rId9" w:anchor="art637a" w:history="1">
        <w:r w:rsidR="00A13903" w:rsidRPr="00A13903">
          <w:rPr>
            <w:rFonts w:ascii="Arial" w:eastAsia="Calibri" w:hAnsi="Arial" w:cs="Arial"/>
            <w:color w:val="0000FF"/>
            <w:sz w:val="24"/>
            <w:szCs w:val="24"/>
            <w:u w:val="single"/>
          </w:rPr>
          <w:t>“Art. 637-A</w:t>
        </w:r>
      </w:hyperlink>
      <w:r w:rsidR="00A13903" w:rsidRPr="00A13903">
        <w:rPr>
          <w:rFonts w:ascii="Arial" w:eastAsia="Calibri" w:hAnsi="Arial" w:cs="Arial"/>
          <w:sz w:val="24"/>
          <w:szCs w:val="24"/>
        </w:rPr>
        <w:t xml:space="preserve">.  Instituído o conselho na forma prevista no § 2º do art. 635, caberá pedido de uniformização de jurisprudência no prazo de quinze dias, contado da data de ciência do acórdão ao interessado, de decisão que der à lei interpretação divergente daquela que lhe tenha dado outra câmara, turma ou órgão similar.” (NR) </w:t>
      </w:r>
    </w:p>
    <w:p w:rsidR="00A13903" w:rsidRPr="00A13903" w:rsidRDefault="00A13903" w:rsidP="00A13903">
      <w:pPr>
        <w:spacing w:after="160" w:line="259" w:lineRule="auto"/>
        <w:jc w:val="both"/>
        <w:rPr>
          <w:rFonts w:ascii="Arial" w:eastAsia="Calibri" w:hAnsi="Arial" w:cs="Arial"/>
          <w:sz w:val="24"/>
          <w:szCs w:val="24"/>
        </w:rPr>
      </w:pPr>
    </w:p>
    <w:p w:rsidR="00A13903" w:rsidRPr="00A13903" w:rsidRDefault="00A13903" w:rsidP="00A13903">
      <w:pPr>
        <w:spacing w:after="160" w:line="259" w:lineRule="auto"/>
        <w:jc w:val="center"/>
        <w:rPr>
          <w:rFonts w:ascii="Arial" w:eastAsia="Calibri" w:hAnsi="Arial" w:cs="Arial"/>
          <w:b/>
          <w:caps/>
          <w:noProof/>
          <w:sz w:val="24"/>
          <w:szCs w:val="24"/>
          <w:shd w:val="clear" w:color="auto" w:fill="FFFFFF"/>
        </w:rPr>
      </w:pPr>
      <w:r w:rsidRPr="00A13903">
        <w:rPr>
          <w:rFonts w:ascii="Arial" w:eastAsia="Calibri" w:hAnsi="Arial" w:cs="Arial"/>
          <w:b/>
          <w:caps/>
          <w:noProof/>
          <w:sz w:val="24"/>
          <w:szCs w:val="24"/>
          <w:shd w:val="clear" w:color="auto" w:fill="FFFFFF"/>
        </w:rPr>
        <w:t>Justificação</w:t>
      </w:r>
    </w:p>
    <w:p w:rsidR="00A13903" w:rsidRPr="00A13903" w:rsidRDefault="00A13903" w:rsidP="00A13903">
      <w:pPr>
        <w:spacing w:after="160" w:line="259" w:lineRule="auto"/>
        <w:jc w:val="center"/>
        <w:rPr>
          <w:rFonts w:ascii="Arial" w:eastAsia="Calibri" w:hAnsi="Arial" w:cs="Arial"/>
          <w:noProof/>
          <w:sz w:val="24"/>
          <w:szCs w:val="24"/>
          <w:shd w:val="clear" w:color="auto" w:fill="FFFFFF"/>
        </w:rPr>
      </w:pPr>
    </w:p>
    <w:p w:rsidR="00A13903" w:rsidRPr="00A13903" w:rsidRDefault="005C7E70" w:rsidP="005C7E70">
      <w:pPr>
        <w:tabs>
          <w:tab w:val="left" w:pos="1701"/>
          <w:tab w:val="left" w:pos="3600"/>
          <w:tab w:val="left" w:pos="3969"/>
        </w:tabs>
        <w:suppressAutoHyphens/>
        <w:spacing w:after="0"/>
        <w:textAlignment w:val="baseline"/>
        <w:rPr>
          <w:rFonts w:ascii="Arial" w:eastAsia="Arial" w:hAnsi="Arial" w:cs="Arial"/>
          <w:sz w:val="24"/>
          <w:szCs w:val="24"/>
          <w:lang w:eastAsia="pt-BR" w:bidi="en-US"/>
        </w:rPr>
      </w:pPr>
      <w:bookmarkStart w:id="2" w:name="_Hlk25053063"/>
      <w:r>
        <w:rPr>
          <w:rFonts w:ascii="Arial" w:eastAsia="Arial" w:hAnsi="Arial" w:cs="Arial"/>
          <w:sz w:val="24"/>
          <w:szCs w:val="24"/>
          <w:lang w:eastAsia="pt-BR" w:bidi="en-US"/>
        </w:rPr>
        <w:tab/>
      </w:r>
      <w:r w:rsidR="00A13903" w:rsidRPr="00A13903">
        <w:rPr>
          <w:rFonts w:ascii="Arial" w:eastAsia="Arial" w:hAnsi="Arial" w:cs="Arial"/>
          <w:sz w:val="24"/>
          <w:szCs w:val="24"/>
          <w:lang w:eastAsia="pt-BR" w:bidi="en-US"/>
        </w:rPr>
        <w:t xml:space="preserve">O </w:t>
      </w:r>
      <w:r w:rsidR="00A13903" w:rsidRPr="00A13903">
        <w:rPr>
          <w:rFonts w:ascii="Arial" w:eastAsia="Arial" w:hAnsi="Arial" w:cs="Arial"/>
          <w:i/>
          <w:iCs/>
          <w:sz w:val="24"/>
          <w:szCs w:val="24"/>
          <w:lang w:eastAsia="pt-BR" w:bidi="en-US"/>
        </w:rPr>
        <w:t>Sistema Federal de Inspeção do Trabalho</w:t>
      </w:r>
      <w:r w:rsidR="00A13903" w:rsidRPr="00A13903">
        <w:rPr>
          <w:rFonts w:ascii="Arial" w:eastAsia="Arial" w:hAnsi="Arial" w:cs="Arial"/>
          <w:sz w:val="24"/>
          <w:szCs w:val="24"/>
          <w:lang w:eastAsia="pt-BR" w:bidi="en-US"/>
        </w:rPr>
        <w:t xml:space="preserve"> foi estabelecido no Brasil por ocasião da ratificação da Convenção nº 81 da Organização Internacional do Trabalho – OIT em 25.6.1957 (Decreto nº 41.721/57) e de sua </w:t>
      </w:r>
      <w:proofErr w:type="spellStart"/>
      <w:r w:rsidR="00A13903" w:rsidRPr="00A13903">
        <w:rPr>
          <w:rFonts w:ascii="Arial" w:eastAsia="Arial" w:hAnsi="Arial" w:cs="Arial"/>
          <w:sz w:val="24"/>
          <w:szCs w:val="24"/>
          <w:lang w:eastAsia="pt-BR" w:bidi="en-US"/>
        </w:rPr>
        <w:t>rerratificação</w:t>
      </w:r>
      <w:proofErr w:type="spellEnd"/>
      <w:r w:rsidR="00A13903" w:rsidRPr="00A13903">
        <w:rPr>
          <w:rFonts w:ascii="Arial" w:eastAsia="Arial" w:hAnsi="Arial" w:cs="Arial"/>
          <w:sz w:val="24"/>
          <w:szCs w:val="24"/>
          <w:lang w:eastAsia="pt-BR" w:bidi="en-US"/>
        </w:rPr>
        <w:t xml:space="preserve"> em 11.12.1987 (Decreto nº 95.461/87), cujo artigo 2º estabelece que “</w:t>
      </w:r>
      <w:r w:rsidR="00A13903" w:rsidRPr="00A13903">
        <w:rPr>
          <w:rFonts w:ascii="Arial" w:eastAsia="Arial" w:hAnsi="Arial" w:cs="Arial"/>
          <w:b/>
          <w:bCs/>
          <w:i/>
          <w:sz w:val="24"/>
          <w:szCs w:val="24"/>
          <w:u w:val="single"/>
          <w:lang w:eastAsia="pt-BR" w:bidi="en-US"/>
        </w:rPr>
        <w:t>os inspetores de trabalho estão encarregados de assegurar a aplicação das disposições legais relativas às condições de trabalho e à proteção dos trabalhadores no exercício da profissão</w:t>
      </w:r>
      <w:proofErr w:type="gramStart"/>
      <w:r w:rsidR="00A13903" w:rsidRPr="00A13903">
        <w:rPr>
          <w:rFonts w:ascii="Arial" w:eastAsia="Arial" w:hAnsi="Arial" w:cs="Arial"/>
          <w:sz w:val="24"/>
          <w:szCs w:val="24"/>
          <w:lang w:eastAsia="pt-BR" w:bidi="en-US"/>
        </w:rPr>
        <w:t>”</w:t>
      </w:r>
      <w:proofErr w:type="gramEnd"/>
      <w:r w:rsidR="00A13903" w:rsidRPr="00A13903">
        <w:rPr>
          <w:rFonts w:ascii="Arial" w:eastAsia="Arial" w:hAnsi="Arial" w:cs="Arial"/>
          <w:sz w:val="24"/>
          <w:szCs w:val="24"/>
          <w:vertAlign w:val="superscript"/>
          <w:lang w:val="en-US" w:eastAsia="pt-BR" w:bidi="en-US"/>
        </w:rPr>
        <w:footnoteReference w:id="1"/>
      </w:r>
      <w:r w:rsidR="00A13903" w:rsidRPr="00A13903">
        <w:rPr>
          <w:rFonts w:ascii="Arial" w:eastAsia="Arial" w:hAnsi="Arial" w:cs="Arial"/>
          <w:sz w:val="24"/>
          <w:szCs w:val="24"/>
          <w:lang w:eastAsia="pt-BR" w:bidi="en-US"/>
        </w:rPr>
        <w:t>. (Destacou-se)</w:t>
      </w:r>
    </w:p>
    <w:p w:rsidR="00A13903" w:rsidRPr="00A13903" w:rsidRDefault="00A13903" w:rsidP="005C7E70">
      <w:pPr>
        <w:tabs>
          <w:tab w:val="left" w:pos="1701"/>
          <w:tab w:val="left" w:pos="3600"/>
          <w:tab w:val="left" w:pos="3969"/>
        </w:tabs>
        <w:suppressAutoHyphens/>
        <w:spacing w:after="0"/>
        <w:ind w:firstLine="1701"/>
        <w:jc w:val="both"/>
        <w:textAlignment w:val="baseline"/>
        <w:rPr>
          <w:rFonts w:ascii="Arial" w:eastAsia="Arial" w:hAnsi="Arial" w:cs="Arial"/>
          <w:sz w:val="24"/>
          <w:szCs w:val="24"/>
          <w:lang w:eastAsia="pt-BR" w:bidi="en-US"/>
        </w:rPr>
      </w:pPr>
    </w:p>
    <w:p w:rsidR="00A13903" w:rsidRPr="00A13903" w:rsidRDefault="005C7E70" w:rsidP="005C7E70">
      <w:pPr>
        <w:tabs>
          <w:tab w:val="left" w:pos="1701"/>
          <w:tab w:val="left" w:pos="3600"/>
          <w:tab w:val="left" w:pos="3969"/>
        </w:tabs>
        <w:suppressAutoHyphens/>
        <w:spacing w:after="0"/>
        <w:textAlignment w:val="baseline"/>
        <w:rPr>
          <w:rFonts w:ascii="Arial" w:eastAsia="Arial" w:hAnsi="Arial" w:cs="Arial"/>
          <w:sz w:val="24"/>
          <w:szCs w:val="24"/>
          <w:lang w:eastAsia="pt-BR" w:bidi="en-US"/>
        </w:rPr>
      </w:pPr>
      <w:r>
        <w:rPr>
          <w:rFonts w:ascii="Arial" w:eastAsia="Arial" w:hAnsi="Arial" w:cs="Arial"/>
          <w:sz w:val="24"/>
          <w:szCs w:val="24"/>
          <w:lang w:eastAsia="pt-BR" w:bidi="en-US"/>
        </w:rPr>
        <w:tab/>
      </w:r>
      <w:r w:rsidR="00A13903" w:rsidRPr="00A13903">
        <w:rPr>
          <w:rFonts w:ascii="Arial" w:eastAsia="Arial" w:hAnsi="Arial" w:cs="Arial"/>
          <w:sz w:val="24"/>
          <w:szCs w:val="24"/>
          <w:lang w:eastAsia="pt-BR" w:bidi="en-US"/>
        </w:rPr>
        <w:t>Em razão da importância do múnus exercido e da necessária autonomia dos profissionais envolvidos nessa atividade, estabeleceu-se no artigo 6º da Convenção nº 81 da OIT que “</w:t>
      </w:r>
      <w:r w:rsidR="00A13903" w:rsidRPr="00A13903">
        <w:rPr>
          <w:rFonts w:ascii="Arial" w:eastAsia="Arial" w:hAnsi="Arial" w:cs="Arial"/>
          <w:b/>
          <w:bCs/>
          <w:i/>
          <w:sz w:val="24"/>
          <w:szCs w:val="24"/>
          <w:u w:val="single"/>
          <w:lang w:eastAsia="pt-BR" w:bidi="en-US"/>
        </w:rPr>
        <w:t>o pessoal da inspeção será composto de funcionários públicos cujo estatuto e condições de serviços lhe assegurem a estabilidade nos seus empregos e os tornem independentes de qualquer mudança de governo ou de qualquer influência externa indevida</w:t>
      </w:r>
      <w:r w:rsidR="00A13903" w:rsidRPr="00A13903">
        <w:rPr>
          <w:rFonts w:ascii="Arial" w:eastAsia="Arial" w:hAnsi="Arial" w:cs="Arial"/>
          <w:sz w:val="24"/>
          <w:szCs w:val="24"/>
          <w:lang w:eastAsia="pt-BR" w:bidi="en-US"/>
        </w:rPr>
        <w:t>”.</w:t>
      </w:r>
      <w:proofErr w:type="gramStart"/>
      <w:r w:rsidR="00A13903" w:rsidRPr="00A13903">
        <w:rPr>
          <w:rFonts w:ascii="Arial" w:eastAsia="Arial" w:hAnsi="Arial" w:cs="Arial"/>
          <w:sz w:val="24"/>
          <w:szCs w:val="24"/>
          <w:vertAlign w:val="superscript"/>
          <w:lang w:val="en-US" w:eastAsia="pt-BR" w:bidi="en-US"/>
        </w:rPr>
        <w:footnoteReference w:id="2"/>
      </w:r>
      <w:proofErr w:type="gramEnd"/>
    </w:p>
    <w:p w:rsidR="00A13903" w:rsidRPr="00A13903" w:rsidRDefault="00A13903" w:rsidP="005C7E70">
      <w:pPr>
        <w:tabs>
          <w:tab w:val="left" w:pos="1701"/>
          <w:tab w:val="left" w:pos="3600"/>
          <w:tab w:val="left" w:pos="3969"/>
        </w:tabs>
        <w:suppressAutoHyphens/>
        <w:spacing w:after="0"/>
        <w:ind w:firstLine="1701"/>
        <w:jc w:val="both"/>
        <w:textAlignment w:val="baseline"/>
        <w:rPr>
          <w:rFonts w:ascii="Arial" w:eastAsia="Arial" w:hAnsi="Arial" w:cs="Arial"/>
          <w:sz w:val="24"/>
          <w:szCs w:val="24"/>
          <w:lang w:eastAsia="pt-BR" w:bidi="en-US"/>
        </w:rPr>
      </w:pPr>
    </w:p>
    <w:p w:rsidR="00A13903" w:rsidRPr="00A13903" w:rsidRDefault="005C7E70" w:rsidP="005C7E70">
      <w:pPr>
        <w:tabs>
          <w:tab w:val="left" w:pos="1701"/>
          <w:tab w:val="left" w:pos="3600"/>
          <w:tab w:val="left" w:pos="3969"/>
        </w:tabs>
        <w:suppressAutoHyphens/>
        <w:spacing w:after="0"/>
        <w:textAlignment w:val="baseline"/>
        <w:rPr>
          <w:rFonts w:ascii="Arial" w:eastAsia="Arial" w:hAnsi="Arial" w:cs="Arial"/>
          <w:sz w:val="24"/>
          <w:szCs w:val="24"/>
          <w:lang w:eastAsia="pt-BR" w:bidi="en-US"/>
        </w:rPr>
      </w:pPr>
      <w:r>
        <w:rPr>
          <w:rFonts w:ascii="Arial" w:eastAsia="Arial" w:hAnsi="Arial" w:cs="Arial"/>
          <w:sz w:val="24"/>
          <w:szCs w:val="24"/>
          <w:lang w:eastAsia="pt-BR" w:bidi="en-US"/>
        </w:rPr>
        <w:tab/>
      </w:r>
      <w:r w:rsidR="00A13903" w:rsidRPr="00A13903">
        <w:rPr>
          <w:rFonts w:ascii="Arial" w:eastAsia="Arial" w:hAnsi="Arial" w:cs="Arial"/>
          <w:sz w:val="24"/>
          <w:szCs w:val="24"/>
          <w:lang w:eastAsia="pt-BR" w:bidi="en-US"/>
        </w:rPr>
        <w:t>Da análise dos sobreditos dispositivos da Convenção nº 81 da OIT, que possuem hierarquia supralegal,</w:t>
      </w:r>
      <w:proofErr w:type="gramStart"/>
      <w:r w:rsidR="00A13903" w:rsidRPr="00A13903">
        <w:rPr>
          <w:rFonts w:ascii="Arial" w:eastAsia="Arial" w:hAnsi="Arial" w:cs="Arial"/>
          <w:sz w:val="24"/>
          <w:szCs w:val="24"/>
          <w:lang w:eastAsia="pt-BR" w:bidi="en-US"/>
        </w:rPr>
        <w:t xml:space="preserve">  </w:t>
      </w:r>
      <w:proofErr w:type="gramEnd"/>
      <w:r w:rsidR="00A13903" w:rsidRPr="00A13903">
        <w:rPr>
          <w:rFonts w:ascii="Arial" w:eastAsia="Arial" w:hAnsi="Arial" w:cs="Arial"/>
          <w:sz w:val="24"/>
          <w:szCs w:val="24"/>
          <w:lang w:eastAsia="pt-BR" w:bidi="en-US"/>
        </w:rPr>
        <w:t xml:space="preserve">resta evidente que os Auditores-Fiscais </w:t>
      </w:r>
      <w:r w:rsidR="00A13903" w:rsidRPr="00A13903">
        <w:rPr>
          <w:rFonts w:ascii="Arial" w:eastAsia="Arial" w:hAnsi="Arial" w:cs="Arial"/>
          <w:sz w:val="24"/>
          <w:szCs w:val="24"/>
          <w:lang w:eastAsia="pt-BR" w:bidi="en-US"/>
        </w:rPr>
        <w:lastRenderedPageBreak/>
        <w:t xml:space="preserve">do Trabalho são os únicos servidores públicos de carreira integrantes do Sistema Federal de Inspeção do Trabalho investidos de autoridade fiscal trabalhista e com competência para assegurar a aplicação das disposições legais, incluindo as convenções internacionais ratificadas, acordos e contratos coletivos de trabalho, bem como para  proceder a inspeções nos locais de trabalho e implementar as medidas administrativas necessárias à efetiva proteção dos trabalhadores no exercício de suas profissões. </w:t>
      </w:r>
    </w:p>
    <w:p w:rsidR="00A13903" w:rsidRPr="00A13903" w:rsidRDefault="00A13903" w:rsidP="005C7E70">
      <w:pPr>
        <w:tabs>
          <w:tab w:val="left" w:pos="1701"/>
          <w:tab w:val="left" w:pos="3600"/>
          <w:tab w:val="left" w:pos="3969"/>
        </w:tabs>
        <w:suppressAutoHyphens/>
        <w:spacing w:after="0"/>
        <w:ind w:firstLine="1701"/>
        <w:jc w:val="both"/>
        <w:textAlignment w:val="baseline"/>
        <w:rPr>
          <w:rFonts w:ascii="Arial" w:eastAsia="Arial" w:hAnsi="Arial" w:cs="Arial"/>
          <w:sz w:val="24"/>
          <w:szCs w:val="24"/>
          <w:lang w:eastAsia="pt-BR" w:bidi="en-US"/>
        </w:rPr>
      </w:pPr>
    </w:p>
    <w:bookmarkEnd w:id="2"/>
    <w:p w:rsidR="00A13903" w:rsidRPr="00A13903" w:rsidRDefault="005C7E70" w:rsidP="005C7E70">
      <w:pPr>
        <w:tabs>
          <w:tab w:val="left" w:pos="1701"/>
          <w:tab w:val="left" w:pos="3600"/>
          <w:tab w:val="left" w:pos="3969"/>
        </w:tabs>
        <w:suppressAutoHyphens/>
        <w:spacing w:after="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 w:bidi="en-US"/>
        </w:rPr>
      </w:pPr>
      <w:r>
        <w:rPr>
          <w:rFonts w:ascii="Arial" w:eastAsia="Arial" w:hAnsi="Arial" w:cs="Arial"/>
          <w:sz w:val="24"/>
          <w:szCs w:val="24"/>
          <w:lang w:eastAsia="pt-BR" w:bidi="en-US"/>
        </w:rPr>
        <w:tab/>
      </w:r>
      <w:r w:rsidR="00A13903" w:rsidRPr="00A13903">
        <w:rPr>
          <w:rFonts w:ascii="Arial" w:eastAsia="Arial" w:hAnsi="Arial" w:cs="Arial"/>
          <w:sz w:val="24"/>
          <w:szCs w:val="24"/>
          <w:lang w:eastAsia="pt-BR" w:bidi="en-US"/>
        </w:rPr>
        <w:t xml:space="preserve">A inovação carreada na nova redação conferida ao artigo 635 da CLT, que introduz a figura do </w:t>
      </w:r>
      <w:r w:rsidR="00A13903" w:rsidRPr="00A13903">
        <w:rPr>
          <w:rFonts w:ascii="Arial" w:eastAsia="Arial" w:hAnsi="Arial" w:cs="Arial"/>
          <w:i/>
          <w:iCs/>
          <w:sz w:val="24"/>
          <w:szCs w:val="24"/>
          <w:lang w:eastAsia="pt-BR" w:bidi="en-US"/>
        </w:rPr>
        <w:t xml:space="preserve">Conselho Recursal Paritário </w:t>
      </w:r>
      <w:r w:rsidR="00A13903" w:rsidRPr="00A13903">
        <w:rPr>
          <w:rFonts w:ascii="Arial" w:eastAsia="Arial" w:hAnsi="Arial" w:cs="Arial"/>
          <w:sz w:val="24"/>
          <w:szCs w:val="24"/>
          <w:lang w:eastAsia="pt-BR" w:bidi="en-US"/>
        </w:rPr>
        <w:t>na estrutura da Secretaria Especial de Previdência e Trabalho do Ministério da Economia, vai de encontro ao artigo 6º da Convenção nº 81 da OIT, porquanto confere a indivíduos estranhos à carreira da Auditoria-Fiscal do Trabalho a decisão final sobre as penalidades impostas pelos integrantes desta última</w:t>
      </w:r>
      <w:r w:rsidR="00A13903" w:rsidRPr="00A13903">
        <w:rPr>
          <w:rFonts w:ascii="Arial" w:eastAsia="Times New Roman" w:hAnsi="Arial" w:cs="Arial"/>
          <w:i/>
          <w:iCs/>
          <w:sz w:val="24"/>
          <w:szCs w:val="24"/>
          <w:lang w:eastAsia="pt-BR" w:bidi="en-US"/>
        </w:rPr>
        <w:t>.</w:t>
      </w:r>
      <w:r w:rsidR="00A13903" w:rsidRPr="00A13903">
        <w:rPr>
          <w:rFonts w:ascii="Arial" w:eastAsia="Arial" w:hAnsi="Arial" w:cs="Arial"/>
          <w:sz w:val="24"/>
          <w:szCs w:val="24"/>
          <w:lang w:eastAsia="pt-BR" w:bidi="en-US"/>
        </w:rPr>
        <w:t xml:space="preserve"> Assim, a prevalecer a redação do dispositivo em questão proposta pela MP nº 905/2019, não apenas será cabível recurso para a segunda instância administrativa contra qualquer decisão que aplicar multa por descumprimento da legislação laboral, como o </w:t>
      </w:r>
      <w:r w:rsidR="00A13903" w:rsidRPr="00A13903">
        <w:rPr>
          <w:rFonts w:ascii="Arial" w:eastAsia="Arial" w:hAnsi="Arial" w:cs="Arial"/>
          <w:i/>
          <w:iCs/>
          <w:sz w:val="24"/>
          <w:szCs w:val="24"/>
          <w:lang w:eastAsia="pt-BR" w:bidi="en-US"/>
        </w:rPr>
        <w:t xml:space="preserve">conselho </w:t>
      </w:r>
      <w:r w:rsidR="00A13903" w:rsidRPr="00A13903">
        <w:rPr>
          <w:rFonts w:ascii="Arial" w:eastAsia="Arial" w:hAnsi="Arial" w:cs="Arial"/>
          <w:sz w:val="24"/>
          <w:szCs w:val="24"/>
          <w:lang w:eastAsia="pt-BR" w:bidi="en-US"/>
        </w:rPr>
        <w:t>por ele instituído –  que decidirá em última instância administrativa sobre a validade das autuações fiscais em matéria trabalhista - será formado majoritariamente por elementos externos à carreira da Auditoria-Fiscal do Trabalho (representantes de trabalhadores e de empregadores)</w:t>
      </w:r>
      <w:r w:rsidR="00A13903" w:rsidRPr="00A13903">
        <w:rPr>
          <w:rFonts w:ascii="Arial" w:eastAsia="Times New Roman" w:hAnsi="Arial" w:cs="Arial"/>
          <w:sz w:val="24"/>
          <w:szCs w:val="24"/>
          <w:lang w:eastAsia="pt-BR" w:bidi="en-US"/>
        </w:rPr>
        <w:t xml:space="preserve">.  </w:t>
      </w:r>
    </w:p>
    <w:p w:rsidR="00A13903" w:rsidRPr="00A13903" w:rsidRDefault="00A13903" w:rsidP="005C7E70">
      <w:pPr>
        <w:tabs>
          <w:tab w:val="left" w:pos="1701"/>
          <w:tab w:val="left" w:pos="3600"/>
          <w:tab w:val="left" w:pos="3969"/>
        </w:tabs>
        <w:suppressAutoHyphens/>
        <w:spacing w:after="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 w:bidi="en-US"/>
        </w:rPr>
      </w:pPr>
    </w:p>
    <w:p w:rsidR="00A13903" w:rsidRPr="00A13903" w:rsidRDefault="005C7E70" w:rsidP="005C7E70">
      <w:pPr>
        <w:tabs>
          <w:tab w:val="left" w:pos="1701"/>
          <w:tab w:val="left" w:pos="3600"/>
          <w:tab w:val="left" w:pos="3969"/>
        </w:tabs>
        <w:suppressAutoHyphens/>
        <w:spacing w:after="0"/>
        <w:jc w:val="both"/>
        <w:textAlignment w:val="baseline"/>
        <w:rPr>
          <w:rFonts w:ascii="Arial" w:eastAsia="Arial" w:hAnsi="Arial" w:cs="Arial"/>
          <w:sz w:val="24"/>
          <w:szCs w:val="24"/>
          <w:lang w:eastAsia="pt-BR" w:bidi="en-US"/>
        </w:rPr>
      </w:pPr>
      <w:r>
        <w:rPr>
          <w:rFonts w:ascii="Arial" w:eastAsia="Times New Roman" w:hAnsi="Arial" w:cs="Arial"/>
          <w:sz w:val="24"/>
          <w:szCs w:val="24"/>
          <w:lang w:eastAsia="pt-BR" w:bidi="en-US"/>
        </w:rPr>
        <w:tab/>
      </w:r>
      <w:r w:rsidR="00A13903" w:rsidRPr="00A13903">
        <w:rPr>
          <w:rFonts w:ascii="Arial" w:eastAsia="Times New Roman" w:hAnsi="Arial" w:cs="Arial"/>
          <w:sz w:val="24"/>
          <w:szCs w:val="24"/>
          <w:lang w:eastAsia="pt-BR" w:bidi="en-US"/>
        </w:rPr>
        <w:t xml:space="preserve">Daí a proposta de alteração do </w:t>
      </w:r>
      <w:r w:rsidR="00A13903" w:rsidRPr="00A13903">
        <w:rPr>
          <w:rFonts w:ascii="Arial" w:eastAsia="Times New Roman" w:hAnsi="Arial" w:cs="Arial"/>
          <w:i/>
          <w:iCs/>
          <w:sz w:val="24"/>
          <w:szCs w:val="24"/>
          <w:lang w:eastAsia="pt-BR" w:bidi="en-US"/>
        </w:rPr>
        <w:t>caput</w:t>
      </w:r>
      <w:r w:rsidR="00A13903" w:rsidRPr="00A13903">
        <w:rPr>
          <w:rFonts w:ascii="Arial" w:eastAsia="Times New Roman" w:hAnsi="Arial" w:cs="Arial"/>
          <w:sz w:val="24"/>
          <w:szCs w:val="24"/>
          <w:lang w:eastAsia="pt-BR" w:bidi="en-US"/>
        </w:rPr>
        <w:t xml:space="preserve"> do referido dispositivo, a fim de que faça constar a seguinte redação: “</w:t>
      </w:r>
      <w:r w:rsidR="00A13903" w:rsidRPr="00A13903">
        <w:rPr>
          <w:rFonts w:ascii="Arial" w:eastAsia="Arial" w:hAnsi="Arial" w:cs="Arial"/>
          <w:i/>
          <w:iCs/>
          <w:sz w:val="24"/>
          <w:szCs w:val="24"/>
          <w:lang w:eastAsia="pt-BR" w:bidi="en-US"/>
        </w:rPr>
        <w:t>Caberá recurso, em segunda instância administrativa, de toda decisão que impuser a aplicação de multa por infração das leis e das disposições reguladoras do trabalho, para a unidade competente para o julgamento de recursos da Subsecretaria de Inspeção do Trabalho da Secretaria de Trabalho da Secretaria Especial de Previdência e Trabalho do Ministério da Economia”</w:t>
      </w:r>
      <w:r w:rsidR="00A13903" w:rsidRPr="00A13903">
        <w:rPr>
          <w:rFonts w:ascii="Arial" w:eastAsia="Arial" w:hAnsi="Arial" w:cs="Arial"/>
          <w:sz w:val="24"/>
          <w:szCs w:val="24"/>
          <w:lang w:eastAsia="pt-BR" w:bidi="en-US"/>
        </w:rPr>
        <w:t xml:space="preserve">. </w:t>
      </w:r>
    </w:p>
    <w:p w:rsidR="00A13903" w:rsidRPr="00A13903" w:rsidRDefault="00A13903" w:rsidP="005C7E70">
      <w:pPr>
        <w:tabs>
          <w:tab w:val="left" w:pos="1701"/>
          <w:tab w:val="left" w:pos="3600"/>
          <w:tab w:val="left" w:pos="3969"/>
        </w:tabs>
        <w:suppressAutoHyphens/>
        <w:spacing w:after="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 w:bidi="en-US"/>
        </w:rPr>
      </w:pPr>
    </w:p>
    <w:p w:rsidR="00A13903" w:rsidRPr="00A13903" w:rsidRDefault="005C7E70" w:rsidP="005C7E70">
      <w:pPr>
        <w:tabs>
          <w:tab w:val="left" w:pos="1701"/>
          <w:tab w:val="left" w:pos="3600"/>
          <w:tab w:val="left" w:pos="3969"/>
        </w:tabs>
        <w:suppressAutoHyphens/>
        <w:spacing w:after="0"/>
        <w:jc w:val="both"/>
        <w:textAlignment w:val="baseline"/>
        <w:rPr>
          <w:rFonts w:ascii="Arial" w:eastAsia="Arial" w:hAnsi="Arial" w:cs="Arial"/>
          <w:sz w:val="24"/>
          <w:szCs w:val="24"/>
          <w:lang w:eastAsia="pt-BR" w:bidi="en-US"/>
        </w:rPr>
      </w:pPr>
      <w:r>
        <w:rPr>
          <w:rFonts w:ascii="Arial" w:eastAsia="Times New Roman" w:hAnsi="Arial" w:cs="Arial"/>
          <w:sz w:val="24"/>
          <w:szCs w:val="24"/>
          <w:lang w:eastAsia="pt-BR" w:bidi="en-US"/>
        </w:rPr>
        <w:tab/>
      </w:r>
      <w:r w:rsidR="00A13903" w:rsidRPr="00A13903">
        <w:rPr>
          <w:rFonts w:ascii="Arial" w:eastAsia="Times New Roman" w:hAnsi="Arial" w:cs="Arial"/>
          <w:sz w:val="24"/>
          <w:szCs w:val="24"/>
          <w:lang w:eastAsia="pt-BR" w:bidi="en-US"/>
        </w:rPr>
        <w:t xml:space="preserve">Os mesmos fundamentos justificam a proposta de exclusão do parágrafo segundo do art. 635, que institui </w:t>
      </w:r>
      <w:r w:rsidR="00A13903" w:rsidRPr="00A13903">
        <w:rPr>
          <w:rFonts w:ascii="Arial" w:eastAsia="Arial" w:hAnsi="Arial" w:cs="Arial"/>
          <w:sz w:val="24"/>
          <w:szCs w:val="24"/>
          <w:lang w:eastAsia="pt-BR" w:bidi="en-US"/>
        </w:rPr>
        <w:t>na estrutura da Secretaria Especial de Previdência e Trabalho do Ministério da Economia</w:t>
      </w:r>
      <w:r w:rsidR="00A13903" w:rsidRPr="00A13903">
        <w:rPr>
          <w:rFonts w:ascii="Arial" w:eastAsia="Times New Roman" w:hAnsi="Arial" w:cs="Arial"/>
          <w:sz w:val="24"/>
          <w:szCs w:val="24"/>
          <w:lang w:eastAsia="pt-BR" w:bidi="en-US"/>
        </w:rPr>
        <w:t xml:space="preserve"> o </w:t>
      </w:r>
      <w:r w:rsidR="00A13903" w:rsidRPr="00A13903">
        <w:rPr>
          <w:rFonts w:ascii="Arial" w:eastAsia="Arial" w:hAnsi="Arial" w:cs="Arial"/>
          <w:i/>
          <w:iCs/>
          <w:sz w:val="24"/>
          <w:szCs w:val="24"/>
          <w:lang w:eastAsia="pt-BR" w:bidi="en-US"/>
        </w:rPr>
        <w:t>Conselho Recursal Paritário</w:t>
      </w:r>
      <w:r w:rsidR="00A13903" w:rsidRPr="00A13903">
        <w:rPr>
          <w:rFonts w:ascii="Arial" w:eastAsia="Arial" w:hAnsi="Arial" w:cs="Arial"/>
          <w:sz w:val="24"/>
          <w:szCs w:val="24"/>
          <w:lang w:eastAsia="pt-BR" w:bidi="en-US"/>
        </w:rPr>
        <w:t xml:space="preserve">, em flagrante contrariedade ao artigo 6º da Convenção nº 81 da OIT.  </w:t>
      </w:r>
    </w:p>
    <w:p w:rsidR="00A13903" w:rsidRPr="00A13903" w:rsidRDefault="00A13903" w:rsidP="005C7E70">
      <w:pPr>
        <w:tabs>
          <w:tab w:val="left" w:pos="1701"/>
          <w:tab w:val="left" w:pos="3600"/>
          <w:tab w:val="left" w:pos="3969"/>
        </w:tabs>
        <w:suppressAutoHyphens/>
        <w:spacing w:after="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 w:bidi="en-US"/>
        </w:rPr>
      </w:pPr>
    </w:p>
    <w:p w:rsidR="00A13903" w:rsidRPr="00A13903" w:rsidRDefault="005C7E70" w:rsidP="005C7E70">
      <w:pPr>
        <w:tabs>
          <w:tab w:val="left" w:pos="1701"/>
          <w:tab w:val="left" w:pos="3600"/>
          <w:tab w:val="left" w:pos="3969"/>
        </w:tabs>
        <w:suppressAutoHyphens/>
        <w:spacing w:after="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 w:bidi="en-US"/>
        </w:rPr>
      </w:pPr>
      <w:r>
        <w:rPr>
          <w:rFonts w:ascii="Arial" w:eastAsia="Times New Roman" w:hAnsi="Arial" w:cs="Arial"/>
          <w:sz w:val="24"/>
          <w:szCs w:val="24"/>
          <w:lang w:eastAsia="pt-BR" w:bidi="en-US"/>
        </w:rPr>
        <w:tab/>
      </w:r>
      <w:r w:rsidR="00A13903" w:rsidRPr="00A13903">
        <w:rPr>
          <w:rFonts w:ascii="Arial" w:eastAsia="Times New Roman" w:hAnsi="Arial" w:cs="Arial"/>
          <w:sz w:val="24"/>
          <w:szCs w:val="24"/>
          <w:lang w:eastAsia="pt-BR" w:bidi="en-US"/>
        </w:rPr>
        <w:t xml:space="preserve">Registre-se, por oportuno, que o texto do artigo ora analisado, e introduzido pela Medida Provisória, não veda expressamente a possibilidade de que os </w:t>
      </w:r>
      <w:r w:rsidR="00A13903" w:rsidRPr="00A13903">
        <w:rPr>
          <w:rFonts w:ascii="Arial" w:eastAsia="Times New Roman" w:hAnsi="Arial" w:cs="Arial"/>
          <w:i/>
          <w:iCs/>
          <w:sz w:val="24"/>
          <w:szCs w:val="24"/>
          <w:lang w:eastAsia="pt-BR" w:bidi="en-US"/>
        </w:rPr>
        <w:t>representantes dos trabalhadores</w:t>
      </w:r>
      <w:r w:rsidR="00A13903" w:rsidRPr="00A13903">
        <w:rPr>
          <w:rFonts w:ascii="Arial" w:eastAsia="Times New Roman" w:hAnsi="Arial" w:cs="Arial"/>
          <w:sz w:val="24"/>
          <w:szCs w:val="24"/>
          <w:lang w:eastAsia="pt-BR" w:bidi="en-US"/>
        </w:rPr>
        <w:t xml:space="preserve"> e dos </w:t>
      </w:r>
      <w:r w:rsidR="00A13903" w:rsidRPr="00A13903">
        <w:rPr>
          <w:rFonts w:ascii="Arial" w:eastAsia="Times New Roman" w:hAnsi="Arial" w:cs="Arial"/>
          <w:i/>
          <w:iCs/>
          <w:sz w:val="24"/>
          <w:szCs w:val="24"/>
          <w:lang w:eastAsia="pt-BR" w:bidi="en-US"/>
        </w:rPr>
        <w:t xml:space="preserve">empregadores </w:t>
      </w:r>
      <w:r w:rsidR="00A13903" w:rsidRPr="00A13903">
        <w:rPr>
          <w:rFonts w:ascii="Arial" w:eastAsia="Times New Roman" w:hAnsi="Arial" w:cs="Arial"/>
          <w:sz w:val="24"/>
          <w:szCs w:val="24"/>
          <w:lang w:eastAsia="pt-BR" w:bidi="en-US"/>
        </w:rPr>
        <w:t xml:space="preserve">ali mencionados sejam agentes políticos indicados pela própria Secretaria Especial de Previdência e Trabalho do Ministério da Economia, porquanto não há em seu enunciado a previsão de qualquer requisito especificamente voltado para a escolha de tais integrantes do </w:t>
      </w:r>
      <w:r w:rsidR="00A13903" w:rsidRPr="00A13903">
        <w:rPr>
          <w:rFonts w:ascii="Arial" w:eastAsia="Times New Roman" w:hAnsi="Arial" w:cs="Arial"/>
          <w:i/>
          <w:iCs/>
          <w:sz w:val="24"/>
          <w:szCs w:val="24"/>
          <w:lang w:eastAsia="pt-BR" w:bidi="en-US"/>
        </w:rPr>
        <w:t>Conselho Recursal Paritário</w:t>
      </w:r>
      <w:r w:rsidR="00A13903" w:rsidRPr="00A13903">
        <w:rPr>
          <w:rFonts w:ascii="Arial" w:eastAsia="Times New Roman" w:hAnsi="Arial" w:cs="Arial"/>
          <w:sz w:val="24"/>
          <w:szCs w:val="24"/>
          <w:lang w:eastAsia="pt-BR" w:bidi="en-US"/>
        </w:rPr>
        <w:t xml:space="preserve">.  </w:t>
      </w:r>
    </w:p>
    <w:p w:rsidR="00A13903" w:rsidRPr="00A13903" w:rsidRDefault="00A13903" w:rsidP="005C7E70">
      <w:pPr>
        <w:tabs>
          <w:tab w:val="left" w:pos="1701"/>
          <w:tab w:val="left" w:pos="3600"/>
          <w:tab w:val="left" w:pos="3969"/>
        </w:tabs>
        <w:suppressAutoHyphens/>
        <w:spacing w:after="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 w:bidi="en-US"/>
        </w:rPr>
      </w:pPr>
    </w:p>
    <w:p w:rsidR="00A13903" w:rsidRPr="00A13903" w:rsidRDefault="005C7E70" w:rsidP="005C7E70">
      <w:pPr>
        <w:tabs>
          <w:tab w:val="left" w:pos="1701"/>
          <w:tab w:val="left" w:pos="3600"/>
          <w:tab w:val="left" w:pos="3969"/>
        </w:tabs>
        <w:suppressAutoHyphens/>
        <w:spacing w:after="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 w:bidi="en-US"/>
        </w:rPr>
      </w:pPr>
      <w:r>
        <w:rPr>
          <w:rFonts w:ascii="Arial" w:eastAsia="Times New Roman" w:hAnsi="Arial" w:cs="Arial"/>
          <w:sz w:val="24"/>
          <w:szCs w:val="24"/>
          <w:lang w:eastAsia="pt-BR" w:bidi="en-US"/>
        </w:rPr>
        <w:lastRenderedPageBreak/>
        <w:tab/>
      </w:r>
      <w:r w:rsidR="00A13903" w:rsidRPr="00A13903">
        <w:rPr>
          <w:rFonts w:ascii="Arial" w:eastAsia="Times New Roman" w:hAnsi="Arial" w:cs="Arial"/>
          <w:sz w:val="24"/>
          <w:szCs w:val="24"/>
          <w:lang w:eastAsia="pt-BR" w:bidi="en-US"/>
        </w:rPr>
        <w:t>O artigo 637-A da CLT, igualmente inserido no texto consolidado pela Medida Provisória nº 905/2019, amplifica tal situação de interferência externa no desempenho das atribuições institucionais dos referidos agentes públicos</w:t>
      </w:r>
      <w:r w:rsidR="00A13903" w:rsidRPr="00A13903">
        <w:rPr>
          <w:rFonts w:ascii="Arial" w:eastAsia="Times New Roman" w:hAnsi="Arial" w:cs="Arial"/>
          <w:b/>
          <w:bCs/>
          <w:sz w:val="24"/>
          <w:szCs w:val="24"/>
          <w:lang w:eastAsia="pt-BR" w:bidi="en-US"/>
        </w:rPr>
        <w:t xml:space="preserve"> </w:t>
      </w:r>
      <w:r w:rsidR="00A13903" w:rsidRPr="00A13903">
        <w:rPr>
          <w:rFonts w:ascii="Arial" w:eastAsia="Times New Roman" w:hAnsi="Arial" w:cs="Arial"/>
          <w:sz w:val="24"/>
          <w:szCs w:val="24"/>
          <w:lang w:eastAsia="pt-BR" w:bidi="en-US"/>
        </w:rPr>
        <w:t>na medida em que confere àquele colegiado a prerrogativa de uniformizar sua jurisprudência, de modo a vincular – e limitar -</w:t>
      </w:r>
      <w:proofErr w:type="gramStart"/>
      <w:r w:rsidR="00A13903" w:rsidRPr="00A13903">
        <w:rPr>
          <w:rFonts w:ascii="Arial" w:eastAsia="Times New Roman" w:hAnsi="Arial" w:cs="Arial"/>
          <w:sz w:val="24"/>
          <w:szCs w:val="24"/>
          <w:lang w:eastAsia="pt-BR" w:bidi="en-US"/>
        </w:rPr>
        <w:t xml:space="preserve">  </w:t>
      </w:r>
      <w:proofErr w:type="gramEnd"/>
      <w:r w:rsidR="00A13903" w:rsidRPr="00A13903">
        <w:rPr>
          <w:rFonts w:ascii="Arial" w:eastAsia="Times New Roman" w:hAnsi="Arial" w:cs="Arial"/>
          <w:sz w:val="24"/>
          <w:szCs w:val="24"/>
          <w:lang w:eastAsia="pt-BR" w:bidi="en-US"/>
        </w:rPr>
        <w:t>a atuação fiscalizatória trabalhista.</w:t>
      </w:r>
    </w:p>
    <w:p w:rsidR="00A13903" w:rsidRPr="00A13903" w:rsidRDefault="00A13903" w:rsidP="005C7E70">
      <w:pPr>
        <w:tabs>
          <w:tab w:val="left" w:pos="1701"/>
          <w:tab w:val="left" w:pos="3600"/>
          <w:tab w:val="left" w:pos="3969"/>
        </w:tabs>
        <w:suppressAutoHyphens/>
        <w:spacing w:after="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 w:bidi="en-US"/>
        </w:rPr>
      </w:pPr>
    </w:p>
    <w:p w:rsidR="00A13903" w:rsidRPr="00A13903" w:rsidRDefault="005C7E70" w:rsidP="005C7E70">
      <w:pPr>
        <w:tabs>
          <w:tab w:val="left" w:pos="1701"/>
          <w:tab w:val="left" w:pos="3600"/>
          <w:tab w:val="left" w:pos="3969"/>
        </w:tabs>
        <w:suppressAutoHyphens/>
        <w:spacing w:after="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 w:bidi="en-US"/>
        </w:rPr>
      </w:pPr>
      <w:r>
        <w:rPr>
          <w:rFonts w:ascii="Arial" w:eastAsia="Times New Roman" w:hAnsi="Arial" w:cs="Arial"/>
          <w:sz w:val="24"/>
          <w:szCs w:val="24"/>
          <w:lang w:eastAsia="pt-BR" w:bidi="en-US"/>
        </w:rPr>
        <w:tab/>
      </w:r>
      <w:r w:rsidR="00A13903" w:rsidRPr="00A13903">
        <w:rPr>
          <w:rFonts w:ascii="Arial" w:eastAsia="Times New Roman" w:hAnsi="Arial" w:cs="Arial"/>
          <w:sz w:val="24"/>
          <w:szCs w:val="24"/>
          <w:lang w:eastAsia="pt-BR" w:bidi="en-US"/>
        </w:rPr>
        <w:t xml:space="preserve">Em síntese, além da clara perspectiva de que a jurisprudência administrativa a ser formada em matéria de fiscalização do trabalho seja composta por decisões sem a isenção e o conhecimento </w:t>
      </w:r>
      <w:proofErr w:type="gramStart"/>
      <w:r w:rsidR="00A13903" w:rsidRPr="00A13903">
        <w:rPr>
          <w:rFonts w:ascii="Arial" w:eastAsia="Times New Roman" w:hAnsi="Arial" w:cs="Arial"/>
          <w:sz w:val="24"/>
          <w:szCs w:val="24"/>
          <w:lang w:eastAsia="pt-BR" w:bidi="en-US"/>
        </w:rPr>
        <w:t>técnico necessários</w:t>
      </w:r>
      <w:proofErr w:type="gramEnd"/>
      <w:r w:rsidR="00A13903" w:rsidRPr="00A13903">
        <w:rPr>
          <w:rFonts w:ascii="Arial" w:eastAsia="Times New Roman" w:hAnsi="Arial" w:cs="Arial"/>
          <w:sz w:val="24"/>
          <w:szCs w:val="24"/>
          <w:lang w:eastAsia="pt-BR" w:bidi="en-US"/>
        </w:rPr>
        <w:t xml:space="preserve"> à correta análise dos autos de infração (art. 635), abre-se oportunidade para que recursos sejam providos sem que sejam consideradas as particularidades de cada caso concreto (</w:t>
      </w:r>
      <w:proofErr w:type="spellStart"/>
      <w:r w:rsidR="00A13903" w:rsidRPr="00A13903">
        <w:rPr>
          <w:rFonts w:ascii="Arial" w:eastAsia="Times New Roman" w:hAnsi="Arial" w:cs="Arial"/>
          <w:sz w:val="24"/>
          <w:szCs w:val="24"/>
          <w:lang w:eastAsia="pt-BR" w:bidi="en-US"/>
        </w:rPr>
        <w:t>arts</w:t>
      </w:r>
      <w:proofErr w:type="spellEnd"/>
      <w:r w:rsidR="00A13903" w:rsidRPr="00A13903">
        <w:rPr>
          <w:rFonts w:ascii="Arial" w:eastAsia="Times New Roman" w:hAnsi="Arial" w:cs="Arial"/>
          <w:sz w:val="24"/>
          <w:szCs w:val="24"/>
          <w:lang w:eastAsia="pt-BR" w:bidi="en-US"/>
        </w:rPr>
        <w:t xml:space="preserve">. 637-A e 638, II). </w:t>
      </w:r>
    </w:p>
    <w:p w:rsidR="00A13903" w:rsidRPr="00A13903" w:rsidRDefault="00A13903" w:rsidP="005C7E70">
      <w:pPr>
        <w:tabs>
          <w:tab w:val="left" w:pos="1701"/>
          <w:tab w:val="left" w:pos="3600"/>
          <w:tab w:val="left" w:pos="3969"/>
        </w:tabs>
        <w:suppressAutoHyphens/>
        <w:spacing w:after="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 w:bidi="en-US"/>
        </w:rPr>
      </w:pPr>
    </w:p>
    <w:p w:rsidR="00A13903" w:rsidRPr="00A13903" w:rsidRDefault="005C7E70" w:rsidP="005C7E70">
      <w:pPr>
        <w:tabs>
          <w:tab w:val="left" w:pos="1701"/>
          <w:tab w:val="left" w:pos="3600"/>
          <w:tab w:val="left" w:pos="3969"/>
        </w:tabs>
        <w:suppressAutoHyphens/>
        <w:spacing w:after="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 w:bidi="en-US"/>
        </w:rPr>
      </w:pPr>
      <w:r>
        <w:rPr>
          <w:rFonts w:ascii="Arial" w:eastAsia="Times New Roman" w:hAnsi="Arial" w:cs="Arial"/>
          <w:sz w:val="24"/>
          <w:szCs w:val="24"/>
          <w:lang w:eastAsia="pt-BR" w:bidi="en-US"/>
        </w:rPr>
        <w:tab/>
      </w:r>
      <w:r w:rsidR="00A13903" w:rsidRPr="00A13903">
        <w:rPr>
          <w:rFonts w:ascii="Arial" w:eastAsia="Times New Roman" w:hAnsi="Arial" w:cs="Arial"/>
          <w:sz w:val="24"/>
          <w:szCs w:val="24"/>
          <w:lang w:eastAsia="pt-BR" w:bidi="en-US"/>
        </w:rPr>
        <w:t xml:space="preserve">Em decorrência, propõe-se a supressão do art. 637-A e a modificação do inciso II, do Art. 638, a fim de que conste, unicamente, “segunda instância”. </w:t>
      </w:r>
    </w:p>
    <w:p w:rsidR="00A13903" w:rsidRPr="00A13903" w:rsidRDefault="00A13903" w:rsidP="005C7E70">
      <w:pPr>
        <w:spacing w:after="160"/>
        <w:jc w:val="both"/>
        <w:rPr>
          <w:rFonts w:ascii="Arial" w:eastAsia="Calibri" w:hAnsi="Arial" w:cs="Arial"/>
          <w:noProof/>
          <w:sz w:val="24"/>
          <w:szCs w:val="24"/>
          <w:shd w:val="clear" w:color="auto" w:fill="FFFFFF"/>
        </w:rPr>
      </w:pPr>
    </w:p>
    <w:p w:rsidR="00A13903" w:rsidRPr="00A13903" w:rsidRDefault="00A13903" w:rsidP="005C7E70">
      <w:pPr>
        <w:spacing w:after="160"/>
        <w:jc w:val="both"/>
        <w:rPr>
          <w:rFonts w:ascii="Arial" w:eastAsia="Calibri" w:hAnsi="Arial" w:cs="Arial"/>
          <w:sz w:val="24"/>
          <w:szCs w:val="24"/>
        </w:rPr>
      </w:pPr>
      <w:r w:rsidRPr="00A13903">
        <w:rPr>
          <w:rFonts w:ascii="Arial" w:eastAsia="Calibri" w:hAnsi="Arial" w:cs="Arial"/>
          <w:sz w:val="24"/>
          <w:szCs w:val="24"/>
        </w:rPr>
        <w:t xml:space="preserve">As alterações e supressões propostas preservam, de um lado, a garantia de recurso administrativo e, de outro, impedem a interferência política indevida no processo administrativo de imposição de multas pelos Auditores-Fiscais do Trabalho, garantindo a prevalência de decisões técnicas. </w:t>
      </w:r>
    </w:p>
    <w:p w:rsidR="00A13903" w:rsidRPr="00A13903" w:rsidRDefault="00A13903" w:rsidP="00A13903">
      <w:pPr>
        <w:spacing w:after="160" w:line="259" w:lineRule="auto"/>
        <w:jc w:val="both"/>
        <w:rPr>
          <w:rFonts w:ascii="Arial" w:eastAsia="Calibri" w:hAnsi="Arial" w:cs="Arial"/>
          <w:sz w:val="24"/>
          <w:szCs w:val="24"/>
        </w:rPr>
      </w:pPr>
    </w:p>
    <w:p w:rsidR="00A13903" w:rsidRPr="00462D05" w:rsidRDefault="00A13903" w:rsidP="00462D05">
      <w:pPr>
        <w:spacing w:before="100" w:beforeAutospacing="1" w:after="100" w:afterAutospacing="1" w:line="240" w:lineRule="auto"/>
        <w:ind w:left="3969"/>
        <w:jc w:val="center"/>
        <w:outlineLvl w:val="2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462D05">
        <w:rPr>
          <w:rFonts w:ascii="Arial" w:eastAsia="Times New Roman" w:hAnsi="Arial" w:cs="Arial"/>
          <w:bCs/>
          <w:sz w:val="24"/>
          <w:szCs w:val="24"/>
          <w:lang w:eastAsia="pt-BR"/>
        </w:rPr>
        <w:t>Sala da Comissão, 19 de novembro de 2019.</w:t>
      </w:r>
    </w:p>
    <w:p w:rsidR="00A13903" w:rsidRPr="00A13903" w:rsidRDefault="00A13903" w:rsidP="00A13903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A13903" w:rsidRPr="00A13903" w:rsidRDefault="00A13903" w:rsidP="00A13903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bookmarkStart w:id="3" w:name="_GoBack"/>
      <w:bookmarkEnd w:id="3"/>
      <w:r w:rsidRPr="00A1390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Deputado Bira do Pindaré</w:t>
      </w:r>
    </w:p>
    <w:p w:rsidR="000F0D2E" w:rsidRPr="00A13903" w:rsidRDefault="00A13903" w:rsidP="009254B5">
      <w:pPr>
        <w:spacing w:before="100" w:beforeAutospacing="1" w:after="100" w:afterAutospacing="1" w:line="240" w:lineRule="auto"/>
        <w:jc w:val="center"/>
        <w:outlineLvl w:val="2"/>
        <w:rPr>
          <w:rFonts w:ascii="Arial" w:hAnsi="Arial" w:cs="Arial"/>
          <w:sz w:val="24"/>
          <w:szCs w:val="24"/>
        </w:rPr>
      </w:pPr>
      <w:r w:rsidRPr="00A1390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PSB/MA</w:t>
      </w:r>
    </w:p>
    <w:sectPr w:rsidR="000F0D2E" w:rsidRPr="00A13903" w:rsidSect="000721D5">
      <w:pgSz w:w="11906" w:h="16838"/>
      <w:pgMar w:top="1417" w:right="1416" w:bottom="1417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7235" w:rsidRDefault="00987235" w:rsidP="00A13903">
      <w:pPr>
        <w:spacing w:after="0" w:line="240" w:lineRule="auto"/>
      </w:pPr>
      <w:r>
        <w:separator/>
      </w:r>
    </w:p>
  </w:endnote>
  <w:endnote w:type="continuationSeparator" w:id="0">
    <w:p w:rsidR="00987235" w:rsidRDefault="00987235" w:rsidP="00A13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7235" w:rsidRDefault="00987235" w:rsidP="00A13903">
      <w:pPr>
        <w:spacing w:after="0" w:line="240" w:lineRule="auto"/>
      </w:pPr>
      <w:r>
        <w:separator/>
      </w:r>
    </w:p>
  </w:footnote>
  <w:footnote w:type="continuationSeparator" w:id="0">
    <w:p w:rsidR="00987235" w:rsidRDefault="00987235" w:rsidP="00A13903">
      <w:pPr>
        <w:spacing w:after="0" w:line="240" w:lineRule="auto"/>
      </w:pPr>
      <w:r>
        <w:continuationSeparator/>
      </w:r>
    </w:p>
  </w:footnote>
  <w:footnote w:id="1">
    <w:p w:rsidR="00A13903" w:rsidRDefault="00A13903" w:rsidP="00A13903">
      <w:pPr>
        <w:spacing w:after="0" w:line="240" w:lineRule="auto"/>
        <w:rPr>
          <w:i/>
          <w:iCs/>
          <w:sz w:val="20"/>
          <w:szCs w:val="20"/>
        </w:rPr>
      </w:pPr>
    </w:p>
    <w:p w:rsidR="00A13903" w:rsidRDefault="00A13903" w:rsidP="00A13903">
      <w:pPr>
        <w:spacing w:after="0" w:line="240" w:lineRule="auto"/>
        <w:rPr>
          <w:sz w:val="20"/>
          <w:szCs w:val="20"/>
        </w:rPr>
      </w:pPr>
      <w:r w:rsidRPr="00202882">
        <w:rPr>
          <w:rStyle w:val="Refdenotaderodap"/>
          <w:sz w:val="20"/>
          <w:szCs w:val="20"/>
        </w:rPr>
        <w:footnoteRef/>
      </w:r>
      <w:r w:rsidRPr="0020288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Convenção n. 81 da OIT. </w:t>
      </w:r>
    </w:p>
    <w:p w:rsidR="00A13903" w:rsidRPr="008F086F" w:rsidRDefault="00A13903" w:rsidP="00A13903">
      <w:pPr>
        <w:spacing w:after="0" w:line="240" w:lineRule="auto"/>
        <w:rPr>
          <w:rFonts w:eastAsia="Times New Roman"/>
          <w:color w:val="000000"/>
          <w:sz w:val="20"/>
          <w:szCs w:val="20"/>
          <w:lang w:eastAsia="pt-BR"/>
        </w:rPr>
      </w:pPr>
      <w:proofErr w:type="gramStart"/>
      <w:r>
        <w:rPr>
          <w:sz w:val="20"/>
          <w:szCs w:val="20"/>
        </w:rPr>
        <w:t>“</w:t>
      </w:r>
      <w:r w:rsidRPr="008F086F">
        <w:rPr>
          <w:rFonts w:eastAsia="Times New Roman"/>
          <w:b/>
          <w:bCs/>
          <w:color w:val="000000"/>
          <w:sz w:val="20"/>
          <w:szCs w:val="20"/>
          <w:lang w:eastAsia="pt-BR"/>
        </w:rPr>
        <w:t>Artigo 2</w:t>
      </w:r>
      <w:r w:rsidRPr="008F086F">
        <w:rPr>
          <w:rFonts w:eastAsia="Times New Roman"/>
          <w:color w:val="000000"/>
          <w:sz w:val="20"/>
          <w:szCs w:val="20"/>
          <w:lang w:eastAsia="pt-BR"/>
        </w:rPr>
        <w:t>º</w:t>
      </w:r>
      <w:r>
        <w:rPr>
          <w:rFonts w:eastAsia="Times New Roman"/>
          <w:color w:val="000000"/>
          <w:sz w:val="20"/>
          <w:szCs w:val="20"/>
          <w:lang w:eastAsia="pt-BR"/>
        </w:rPr>
        <w:t>.</w:t>
      </w:r>
      <w:proofErr w:type="gramEnd"/>
    </w:p>
    <w:p w:rsidR="00A13903" w:rsidRPr="008F086F" w:rsidRDefault="00A13903" w:rsidP="00A13903">
      <w:pPr>
        <w:spacing w:after="0" w:line="240" w:lineRule="auto"/>
        <w:rPr>
          <w:rFonts w:eastAsia="Times New Roman"/>
          <w:color w:val="000000"/>
          <w:sz w:val="20"/>
          <w:szCs w:val="20"/>
          <w:lang w:eastAsia="pt-BR"/>
        </w:rPr>
      </w:pPr>
      <w:r w:rsidRPr="008F086F">
        <w:rPr>
          <w:rFonts w:eastAsia="Times New Roman"/>
          <w:color w:val="000000"/>
          <w:sz w:val="20"/>
          <w:szCs w:val="20"/>
          <w:lang w:eastAsia="pt-BR"/>
        </w:rPr>
        <w:t>1 - O sistema de inspeção de trabalho nos estabelecimentos industriais se aplicará a todos os estabelecimentos para os quais os inspetores de trabalho estão encarregados de assegurar a aplicação das disposições legais relativas às condições de trabalho e à proteção dos trabalhadores no exercício da profissão.</w:t>
      </w:r>
      <w:proofErr w:type="gramStart"/>
      <w:r w:rsidRPr="008F086F">
        <w:rPr>
          <w:rFonts w:eastAsia="Times New Roman"/>
          <w:color w:val="000000"/>
          <w:sz w:val="20"/>
          <w:szCs w:val="20"/>
          <w:lang w:eastAsia="pt-BR"/>
        </w:rPr>
        <w:t>”</w:t>
      </w:r>
      <w:proofErr w:type="gramEnd"/>
    </w:p>
    <w:p w:rsidR="00A13903" w:rsidRPr="008F086F" w:rsidRDefault="00A13903" w:rsidP="00A13903">
      <w:pPr>
        <w:spacing w:after="0" w:line="240" w:lineRule="auto"/>
        <w:rPr>
          <w:rFonts w:eastAsia="Times New Roman"/>
          <w:color w:val="000000"/>
          <w:sz w:val="20"/>
          <w:szCs w:val="20"/>
          <w:lang w:eastAsia="pt-BR"/>
        </w:rPr>
      </w:pPr>
      <w:r w:rsidRPr="008F086F">
        <w:rPr>
          <w:rFonts w:eastAsia="Times New Roman"/>
          <w:color w:val="000000"/>
          <w:sz w:val="20"/>
          <w:szCs w:val="20"/>
          <w:lang w:eastAsia="pt-BR"/>
        </w:rPr>
        <w:t>[...]</w:t>
      </w:r>
    </w:p>
  </w:footnote>
  <w:footnote w:id="2">
    <w:p w:rsidR="00A13903" w:rsidRPr="008F086F" w:rsidRDefault="00A13903" w:rsidP="00A13903">
      <w:pPr>
        <w:pStyle w:val="Textodenotaderodap"/>
        <w:jc w:val="both"/>
        <w:rPr>
          <w:rFonts w:cs="Times New Roman"/>
        </w:rPr>
      </w:pPr>
      <w:r w:rsidRPr="008F086F">
        <w:rPr>
          <w:rStyle w:val="Refdenotaderodap"/>
          <w:rFonts w:cs="Times New Roman"/>
        </w:rPr>
        <w:footnoteRef/>
      </w:r>
      <w:proofErr w:type="gramStart"/>
      <w:r w:rsidRPr="008F086F">
        <w:rPr>
          <w:rFonts w:cs="Times New Roman"/>
        </w:rPr>
        <w:t>“</w:t>
      </w:r>
      <w:r w:rsidRPr="008F086F">
        <w:rPr>
          <w:rFonts w:cs="Times New Roman"/>
          <w:b/>
          <w:bCs/>
        </w:rPr>
        <w:t>Artigo 6</w:t>
      </w:r>
      <w:r w:rsidRPr="008F086F">
        <w:rPr>
          <w:rFonts w:cs="Times New Roman"/>
        </w:rPr>
        <w:t>º</w:t>
      </w:r>
      <w:r>
        <w:rPr>
          <w:rFonts w:cs="Times New Roman"/>
        </w:rPr>
        <w:t>.</w:t>
      </w:r>
      <w:proofErr w:type="gramEnd"/>
    </w:p>
    <w:p w:rsidR="00A13903" w:rsidRPr="00F0247B" w:rsidRDefault="00A13903" w:rsidP="00A13903">
      <w:pPr>
        <w:pStyle w:val="Textodenotaderodap"/>
        <w:jc w:val="both"/>
        <w:rPr>
          <w:rFonts w:cs="Times New Roman"/>
        </w:rPr>
      </w:pPr>
      <w:proofErr w:type="gramStart"/>
      <w:r w:rsidRPr="008F086F">
        <w:rPr>
          <w:rFonts w:cs="Times New Roman"/>
        </w:rPr>
        <w:t xml:space="preserve">O pessoal da inspeção será composto de funcionários públicos sujo estatuto e condições de serviços lhes assegurem a estabilidade nos seus empregos e os tornem independentes de qualquer mudança de </w:t>
      </w:r>
      <w:proofErr w:type="spellStart"/>
      <w:r w:rsidRPr="008F086F">
        <w:rPr>
          <w:rFonts w:cs="Times New Roman"/>
        </w:rPr>
        <w:t>govêrno</w:t>
      </w:r>
      <w:proofErr w:type="spellEnd"/>
      <w:r w:rsidRPr="008F086F">
        <w:rPr>
          <w:rFonts w:cs="Times New Roman"/>
        </w:rPr>
        <w:t xml:space="preserve"> ou de qualquer influência externa indevida.”</w:t>
      </w:r>
      <w:proofErr w:type="gram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903"/>
    <w:rsid w:val="000F0D2E"/>
    <w:rsid w:val="00424708"/>
    <w:rsid w:val="00460DB3"/>
    <w:rsid w:val="00462D05"/>
    <w:rsid w:val="005C7E70"/>
    <w:rsid w:val="009254B5"/>
    <w:rsid w:val="00987235"/>
    <w:rsid w:val="00A13903"/>
    <w:rsid w:val="00A55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1390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13903"/>
    <w:rPr>
      <w:sz w:val="20"/>
      <w:szCs w:val="20"/>
    </w:rPr>
  </w:style>
  <w:style w:type="character" w:styleId="Refdenotaderodap">
    <w:name w:val="footnote reference"/>
    <w:qFormat/>
    <w:rsid w:val="00A1390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1390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13903"/>
    <w:rPr>
      <w:sz w:val="20"/>
      <w:szCs w:val="20"/>
    </w:rPr>
  </w:style>
  <w:style w:type="character" w:styleId="Refdenotaderodap">
    <w:name w:val="footnote reference"/>
    <w:qFormat/>
    <w:rsid w:val="00A1390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Decreto-Lei/Del5452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islacao.planalto.gov.br/legisla/legislacao.nsf/Viw_Identificacao/mpv%20898-2019?OpenDocumen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planalto.gov.br/ccivil_03/Decreto-Lei/Del5452.htm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1144</Words>
  <Characters>6182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Câmara dos Deputados</Company>
  <LinksUpToDate>false</LinksUpToDate>
  <CharactersWithSpaces>7312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2</cp:revision>
  <dcterms:created xsi:type="dcterms:W3CDTF">2019-11-20T12:35:00Z</dcterms:created>
  <dcterms:modified xsi:type="dcterms:W3CDTF">2019-11-20T12:35:00Z</dcterms:modified>
</cp:coreProperties>
</file>