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ECB" w:rsidRDefault="00C218D0" w:rsidP="00A85ECB">
      <w:pPr>
        <w:pStyle w:val="02-TtuloPrincipal-CLG"/>
      </w:pPr>
      <w:r>
        <w:rPr>
          <w:caps/>
        </w:rPr>
        <w:t>Parecer</w:t>
      </w:r>
      <w:r w:rsidR="00920CA3">
        <w:t xml:space="preserve"> Nº       , DE 2016</w:t>
      </w:r>
      <w:bookmarkStart w:id="0" w:name="_GoBack"/>
      <w:bookmarkEnd w:id="0"/>
    </w:p>
    <w:p w:rsidR="00A85ECB" w:rsidRDefault="00C218D0" w:rsidP="00A85ECB">
      <w:pPr>
        <w:pStyle w:val="03-Ementa-CLG"/>
      </w:pPr>
      <w:r>
        <w:t xml:space="preserve">Da COMISSÃO DE CONSTITUIÇÃO, JUSTIÇA E CIDADANIA, sobre a Proposta de Emenda à Constituição (PEC) nº 35, de 2015, do Senador </w:t>
      </w:r>
      <w:proofErr w:type="spellStart"/>
      <w:r>
        <w:t>Lasier</w:t>
      </w:r>
      <w:proofErr w:type="spellEnd"/>
      <w:r>
        <w:t xml:space="preserve"> Martins e outros, que </w:t>
      </w:r>
      <w:r>
        <w:rPr>
          <w:i/>
        </w:rPr>
        <w:t>altera o art. 101 da Constituição Federal, para modificar a forma de escolha dos Ministros do Supremo Tribunal Federal</w:t>
      </w:r>
      <w:r>
        <w:t>.</w:t>
      </w:r>
    </w:p>
    <w:p w:rsidR="00A85ECB" w:rsidRDefault="00D66B4D" w:rsidP="00A85ECB">
      <w:pPr>
        <w:pStyle w:val="04-Relatoria-CLG"/>
      </w:pPr>
      <w:r>
        <w:t>RELATOR</w:t>
      </w:r>
      <w:r w:rsidR="00C218D0">
        <w:t xml:space="preserve">: Senador </w:t>
      </w:r>
      <w:r w:rsidR="00C218D0">
        <w:rPr>
          <w:b/>
          <w:caps/>
        </w:rPr>
        <w:t>Antonio Anastasia</w:t>
      </w:r>
    </w:p>
    <w:p w:rsidR="00A85ECB" w:rsidRDefault="00A85ECB" w:rsidP="00A85ECB">
      <w:pPr>
        <w:pStyle w:val="05-Subttulo-CLG"/>
      </w:pPr>
      <w:r>
        <w:t>I – RELATÓRIO</w:t>
      </w:r>
    </w:p>
    <w:p w:rsidR="00A85ECB" w:rsidRDefault="00FF5768" w:rsidP="00A85ECB">
      <w:pPr>
        <w:pStyle w:val="06-Pargrafodetexto-CLG"/>
      </w:pPr>
      <w:r>
        <w:t xml:space="preserve">Trata-se de apreciar a Proposta de Emenda à Constituição nº 35, de 2015, (PEC nº 35, de 2015), primeiro signatário o Senador </w:t>
      </w:r>
      <w:proofErr w:type="spellStart"/>
      <w:r>
        <w:t>Lasier</w:t>
      </w:r>
      <w:proofErr w:type="spellEnd"/>
      <w:r>
        <w:t xml:space="preserve"> Martins, que altera o art. 101 da Constituição para modificar a forma de escolha dos Ministros do Supremo Tribunal Federal (STF).</w:t>
      </w:r>
    </w:p>
    <w:p w:rsidR="00FF5768" w:rsidRDefault="00FF5768" w:rsidP="00A85ECB">
      <w:pPr>
        <w:pStyle w:val="06-Pargrafodetexto-CLG"/>
      </w:pPr>
      <w:r>
        <w:t xml:space="preserve">Consoante a nova redação proposta para o </w:t>
      </w:r>
      <w:r w:rsidRPr="00C51591">
        <w:rPr>
          <w:i/>
        </w:rPr>
        <w:t>caput</w:t>
      </w:r>
      <w:r>
        <w:t xml:space="preserve"> do art. 101 da Constituição, os novos membros do STF devem também comprovar quinze anos de atividade jurídica.</w:t>
      </w:r>
    </w:p>
    <w:p w:rsidR="00FF5768" w:rsidRDefault="00FF5768" w:rsidP="00A85ECB">
      <w:pPr>
        <w:pStyle w:val="06-Pargrafodetexto-CLG"/>
      </w:pPr>
      <w:r>
        <w:t>Ademais, conforme o texto propost</w:t>
      </w:r>
      <w:r w:rsidR="00D66B4D">
        <w:t>o</w:t>
      </w:r>
      <w:r>
        <w:t xml:space="preserve"> para o §</w:t>
      </w:r>
      <w:r w:rsidR="00D66B4D">
        <w:t xml:space="preserve"> </w:t>
      </w:r>
      <w:r>
        <w:t>1º do mesmo art. 101, a escolha dos Ministros do STF será feita pelo Presidente da República a partir de lista tríplice elaborada, no prazo de até um mês a contar do surgimento da vaga, por um colegiado composto pelos presidentes do próprio STF, do Superior Tribunal de Justiça, do Tribunal Superior do Trabalho, do Superior Tribunal Militar e do Tribunal de Contas da União.</w:t>
      </w:r>
    </w:p>
    <w:p w:rsidR="00FF5768" w:rsidRDefault="00FF5768" w:rsidP="00A85ECB">
      <w:pPr>
        <w:pStyle w:val="06-Pargrafodetexto-CLG"/>
      </w:pPr>
      <w:r>
        <w:t>Também participa</w:t>
      </w:r>
      <w:r w:rsidR="00C51591">
        <w:t>m</w:t>
      </w:r>
      <w:r>
        <w:t xml:space="preserve"> deste colegiado o Procurador-Geral da República e o Presidente do Conselho Federal da Ordem dos Advogados do Brasil (OAB).</w:t>
      </w:r>
    </w:p>
    <w:p w:rsidR="00FF5768" w:rsidRDefault="00FF5768" w:rsidP="00A85ECB">
      <w:pPr>
        <w:pStyle w:val="06-Pargrafodetexto-CLG"/>
      </w:pPr>
      <w:r>
        <w:t xml:space="preserve">O Presidente da República comunicará a escolha </w:t>
      </w:r>
      <w:r w:rsidR="00660BFC">
        <w:t>a</w:t>
      </w:r>
      <w:r>
        <w:t xml:space="preserve">o Presidente do Senado Federal até um mês após receber a lista tríplice. O novo ministro do </w:t>
      </w:r>
      <w:r>
        <w:lastRenderedPageBreak/>
        <w:t>STF será nomeado pelo Presidente da República depois de aprovada a escolha pela maioria absoluta do Senado Federal, para mandato de dez anos, vedada a recondução.</w:t>
      </w:r>
    </w:p>
    <w:p w:rsidR="00FF5768" w:rsidRDefault="000D61E9" w:rsidP="00A85ECB">
      <w:pPr>
        <w:pStyle w:val="06-Pargrafodetexto-CLG"/>
      </w:pPr>
      <w:r>
        <w:t xml:space="preserve">Os ministros do STF são inelegíveis para qualquer cargo eletivo </w:t>
      </w:r>
      <w:r w:rsidR="009A5415">
        <w:t>pelo prazo de cinco anos, a contar do término de seu mandato.</w:t>
      </w:r>
    </w:p>
    <w:p w:rsidR="009A5415" w:rsidRDefault="009A5415" w:rsidP="00A85ECB">
      <w:pPr>
        <w:pStyle w:val="06-Pargrafodetexto-CLG"/>
      </w:pPr>
      <w:r>
        <w:t>Àqueles que se acham em exercício na data de publicação da emenda que resultar desta PEC aplica-se o regime jurídico vigente à época de sua nomeação.</w:t>
      </w:r>
    </w:p>
    <w:p w:rsidR="009A5415" w:rsidRDefault="009A5415" w:rsidP="00A85ECB">
      <w:pPr>
        <w:pStyle w:val="06-Pargrafodetexto-CLG"/>
      </w:pPr>
      <w:r>
        <w:t xml:space="preserve">O Senador </w:t>
      </w:r>
      <w:proofErr w:type="spellStart"/>
      <w:r w:rsidR="008B6C4D">
        <w:t>Lasier</w:t>
      </w:r>
      <w:proofErr w:type="spellEnd"/>
      <w:r w:rsidR="008B6C4D">
        <w:t xml:space="preserve"> Martins </w:t>
      </w:r>
      <w:r>
        <w:t xml:space="preserve">e os demais autores da iniciativa argumentam, </w:t>
      </w:r>
      <w:r w:rsidR="00B34C28">
        <w:t>em</w:t>
      </w:r>
      <w:r>
        <w:t xml:space="preserve"> sua justificação, </w:t>
      </w:r>
      <w:r w:rsidR="00B34C28">
        <w:t>que a forma de escolha dos Ministros do STF é alvo de constantes questionamentos. De um lado, porque se alega que a escolha caber ao Presidente da República pode trazer prejuízos à impessoalidade de critérios de seleção e, no limite, ao desrespeito à necessária independência dos magistrados.</w:t>
      </w:r>
    </w:p>
    <w:p w:rsidR="00B34C28" w:rsidRDefault="00B34C28" w:rsidP="00A85ECB">
      <w:pPr>
        <w:pStyle w:val="06-Pargrafodetexto-CLG"/>
      </w:pPr>
      <w:r>
        <w:t xml:space="preserve">E cita a doutrina de </w:t>
      </w:r>
      <w:proofErr w:type="spellStart"/>
      <w:r>
        <w:t>Lêda</w:t>
      </w:r>
      <w:proofErr w:type="spellEnd"/>
      <w:r>
        <w:t xml:space="preserve"> </w:t>
      </w:r>
      <w:proofErr w:type="spellStart"/>
      <w:r>
        <w:t>Boechat</w:t>
      </w:r>
      <w:proofErr w:type="spellEnd"/>
      <w:r>
        <w:t xml:space="preserve"> Rodrigues, para quem "é costumeiro o Presidente da República nomear para o STF </w:t>
      </w:r>
      <w:r w:rsidR="00660BFC">
        <w:t>‘</w:t>
      </w:r>
      <w:r>
        <w:t>políticos-bacharéis</w:t>
      </w:r>
      <w:r w:rsidR="00660BFC">
        <w:t>’</w:t>
      </w:r>
      <w:r>
        <w:t xml:space="preserve">, (...) em pagamento de serviços prestados". Aduzem os autores da iniciativa que "a sociedade brasileira </w:t>
      </w:r>
      <w:r w:rsidR="008B6C4D">
        <w:t>não tolera mais essa possibilidade de desvio de finalidade na escolha dos Ministros da mais alta Corte".</w:t>
      </w:r>
    </w:p>
    <w:p w:rsidR="008B6C4D" w:rsidRDefault="008B6C4D" w:rsidP="00A85ECB">
      <w:pPr>
        <w:pStyle w:val="06-Pargrafodetexto-CLG"/>
      </w:pPr>
      <w:r>
        <w:t xml:space="preserve">Por outra parte, argumentam, </w:t>
      </w:r>
      <w:r w:rsidR="00527805">
        <w:t>“</w:t>
      </w:r>
      <w:r>
        <w:t>a falta de previsão de um prazo para a realização da escolha faz com que o STF, muitas vezes, tenha que conviver com vagas em aberto por até quase um ano</w:t>
      </w:r>
      <w:r w:rsidR="00527805">
        <w:t>”</w:t>
      </w:r>
      <w:r>
        <w:t>.</w:t>
      </w:r>
    </w:p>
    <w:p w:rsidR="00E42F6D" w:rsidRDefault="00E42F6D" w:rsidP="00A85ECB">
      <w:pPr>
        <w:pStyle w:val="06-Pargrafodetexto-CLG"/>
      </w:pPr>
      <w:r>
        <w:t xml:space="preserve">E ressaltam que, na PEC ora apresentada, a escolha continuará a ser feita pelo Presidente da República, porque essa regra não poderia ser abolida, por ofender a separação dos poderes. Mas </w:t>
      </w:r>
      <w:r w:rsidR="00D66B4D">
        <w:t>argumentam,</w:t>
      </w:r>
      <w:r>
        <w:t xml:space="preserve"> </w:t>
      </w:r>
      <w:r w:rsidR="008C68DA">
        <w:t>“</w:t>
      </w:r>
      <w:r>
        <w:t>contudo, não estará o Chefe do Executivo absolutamente livre para indicar quem quiser. Deverá fazê-lo dentre os integrantes de uma lista tríplice a ser elaborada, no prazo de um mês, por um Colegiado</w:t>
      </w:r>
      <w:r w:rsidR="008C68DA">
        <w:t>”</w:t>
      </w:r>
      <w:r>
        <w:t>.</w:t>
      </w:r>
    </w:p>
    <w:p w:rsidR="00E42F6D" w:rsidRDefault="00E42F6D" w:rsidP="00A85ECB">
      <w:pPr>
        <w:pStyle w:val="06-Pargrafodetexto-CLG"/>
      </w:pPr>
      <w:r>
        <w:t>E destacam a pluralidade desse Colegiado, assim como a exigência de quinze anos de experiência jurídica do indicado.</w:t>
      </w:r>
    </w:p>
    <w:p w:rsidR="00960257" w:rsidRDefault="00960257" w:rsidP="00A85ECB">
      <w:pPr>
        <w:pStyle w:val="06-Pargrafodetexto-CLG"/>
      </w:pPr>
      <w:r>
        <w:t>Continuará cabendo ao Presidente da República a escolha final dos Ministros</w:t>
      </w:r>
      <w:r w:rsidR="001D1064">
        <w:t>, assim como ao Senado aprovar essa indicação por maioria absoluta.</w:t>
      </w:r>
    </w:p>
    <w:p w:rsidR="001D1064" w:rsidRDefault="001D1064" w:rsidP="00A85ECB">
      <w:pPr>
        <w:pStyle w:val="06-Pargrafodetexto-CLG"/>
      </w:pPr>
      <w:r>
        <w:lastRenderedPageBreak/>
        <w:t xml:space="preserve">Destaca-se, ademais, que </w:t>
      </w:r>
      <w:r w:rsidR="00AB1BB9">
        <w:t xml:space="preserve">o problema trazido pela vigente vitaliciedade à estabilidade institucional: por tal regra, alguns ministros ocupam a vaga por poucos anos, outros por muitos, podendo chegar </w:t>
      </w:r>
      <w:r w:rsidR="00660BFC">
        <w:t>a</w:t>
      </w:r>
      <w:r w:rsidR="000671F6">
        <w:t xml:space="preserve"> exercer o cargo por décadas e mesmo a presidir a Corte por mais de uma vez.</w:t>
      </w:r>
    </w:p>
    <w:p w:rsidR="008B6C4D" w:rsidRPr="003311AC" w:rsidRDefault="002D169A" w:rsidP="00A85ECB">
      <w:pPr>
        <w:pStyle w:val="06-Pargrafodetexto-CLG"/>
      </w:pPr>
      <w:r>
        <w:t>Não foram apresentadas emendas à proposição.</w:t>
      </w:r>
    </w:p>
    <w:p w:rsidR="00A85ECB" w:rsidRPr="005523B9" w:rsidRDefault="00A85ECB" w:rsidP="00A85ECB">
      <w:pPr>
        <w:pStyle w:val="05-Subttulo-CLG"/>
      </w:pPr>
      <w:r w:rsidRPr="005523B9">
        <w:t>II – ANÁLISE</w:t>
      </w:r>
    </w:p>
    <w:p w:rsidR="00D53338" w:rsidRDefault="00C93494" w:rsidP="00A85ECB">
      <w:pPr>
        <w:pStyle w:val="06-Pargrafodetexto-CLG"/>
      </w:pPr>
      <w:r>
        <w:t xml:space="preserve">Compete a esta CCJ apreciar a PEC </w:t>
      </w:r>
      <w:r w:rsidR="008E0DA5">
        <w:t xml:space="preserve">nº </w:t>
      </w:r>
      <w:r>
        <w:t xml:space="preserve">35, de 2015, em suas diversas dimensões, ou seja, tanto quanto à constitucionalidade, </w:t>
      </w:r>
      <w:r w:rsidR="00D53338">
        <w:t xml:space="preserve">formal e material, quanto à </w:t>
      </w:r>
      <w:r>
        <w:t>juridicidade e técnica legislativa</w:t>
      </w:r>
      <w:r w:rsidR="00D53338">
        <w:t xml:space="preserve">, quanto ao respeito às normas regimentais em sua tramitação e, especialmente, com relação ao seu mérito. </w:t>
      </w:r>
    </w:p>
    <w:p w:rsidR="001C7A12" w:rsidRDefault="00D53338" w:rsidP="00A85ECB">
      <w:pPr>
        <w:pStyle w:val="06-Pargrafodetexto-CLG"/>
      </w:pPr>
      <w:r>
        <w:t>E cumpre observar a matéria também no que respeito às restrições de natureza circunstancial à reforma da Constituição: nesse passo, reconheça-se a inexistência de qualquer situação de fato, de natureza jurídico</w:t>
      </w:r>
      <w:r w:rsidR="00660BFC">
        <w:t>-</w:t>
      </w:r>
      <w:r>
        <w:t>política, como a interven</w:t>
      </w:r>
      <w:r w:rsidR="001C7A12">
        <w:t>ção federal em alguma unidade federada, ou a decretação de estado de defesa ou de sítio.</w:t>
      </w:r>
    </w:p>
    <w:p w:rsidR="001C7A12" w:rsidRDefault="001C7A12" w:rsidP="00A85ECB">
      <w:pPr>
        <w:pStyle w:val="06-Pargrafodetexto-CLG"/>
      </w:pPr>
      <w:r>
        <w:t>Quanto à relação entre as normas contidas na proposição e os limites materiais à reforma da Carta Magna, cabe anotar que a matéria não afeta direitos e garantias asseguradas pela Constituição aos cidadãos, e não diz respeito ao</w:t>
      </w:r>
      <w:r w:rsidR="002862B9">
        <w:t xml:space="preserve"> voto, direto, secreto, universal e periódico, assim como o princípio federativo.</w:t>
      </w:r>
    </w:p>
    <w:p w:rsidR="002862B9" w:rsidRDefault="00F54DAD" w:rsidP="00A85ECB">
      <w:pPr>
        <w:pStyle w:val="06-Pargrafodetexto-CLG"/>
      </w:pPr>
      <w:r>
        <w:t>No que se refere à separação dos poderes, norma e princípio com que a matéria se relaciona, percebe-se que o faz para aperfeiçoar o sistema constitucional brasileiro quanto ao necessário equilíbrio que deve prevalecer, ou, na própria linguagem constitucional, à independência e harmonia que deve presidir a relação entre os poderes da União.</w:t>
      </w:r>
    </w:p>
    <w:p w:rsidR="00F54DAD" w:rsidRDefault="00F54DAD" w:rsidP="00A85ECB">
      <w:pPr>
        <w:pStyle w:val="06-Pargrafodetexto-CLG"/>
      </w:pPr>
      <w:r>
        <w:t xml:space="preserve">Com efeito, como ressalta o Senador </w:t>
      </w:r>
      <w:proofErr w:type="spellStart"/>
      <w:r>
        <w:t>Lasier</w:t>
      </w:r>
      <w:proofErr w:type="spellEnd"/>
      <w:r>
        <w:t xml:space="preserve"> Martins e demais autores de tão importante iniciativa, </w:t>
      </w:r>
      <w:r w:rsidR="009F55F3">
        <w:t xml:space="preserve">a vigente forma de indicação dos magistrados que integram a Corte Constitucional brasileira é alvo de constantes </w:t>
      </w:r>
      <w:r w:rsidR="00315122">
        <w:t>questionamentos. E tais crítica</w:t>
      </w:r>
      <w:r w:rsidR="00660BFC">
        <w:t>s</w:t>
      </w:r>
      <w:r w:rsidR="00315122">
        <w:t xml:space="preserve"> são fundamentadas, especialmente quanto ao fato de caber a um único mandatário, o Presidente da República, a solitária indicação de todos os integrantes da mais importante Corte de Justiça do Brasil.</w:t>
      </w:r>
    </w:p>
    <w:p w:rsidR="00ED6435" w:rsidRDefault="00315122" w:rsidP="00ED6435">
      <w:pPr>
        <w:pStyle w:val="06-Pargrafodetexto-CLG"/>
      </w:pPr>
      <w:r>
        <w:lastRenderedPageBreak/>
        <w:t>Outros aspectos, como a inexistência de prazo para que os poderes estatais realizem a</w:t>
      </w:r>
      <w:r w:rsidR="00ED6435">
        <w:t xml:space="preserve"> nova indicação, em caso de vacância</w:t>
      </w:r>
      <w:r>
        <w:t xml:space="preserve">, </w:t>
      </w:r>
      <w:r w:rsidR="00ED6435">
        <w:t>te</w:t>
      </w:r>
      <w:r>
        <w:t>m prejudicado até</w:t>
      </w:r>
      <w:r w:rsidR="00ED6435">
        <w:t xml:space="preserve"> mesmo a funcionalidade do STF, que, c</w:t>
      </w:r>
      <w:r>
        <w:t>omo todos sabemos, apre</w:t>
      </w:r>
      <w:r w:rsidR="00ED6435">
        <w:t xml:space="preserve">cia temas relevantes para o País. </w:t>
      </w:r>
    </w:p>
    <w:p w:rsidR="00315122" w:rsidRDefault="00ED6435" w:rsidP="00ED6435">
      <w:pPr>
        <w:pStyle w:val="06-Pargrafodetexto-CLG"/>
      </w:pPr>
      <w:r>
        <w:t>Assim, a ausência de um magistrado</w:t>
      </w:r>
      <w:r w:rsidR="00315122">
        <w:t xml:space="preserve"> </w:t>
      </w:r>
      <w:r>
        <w:t>pode até mesmo inviabilizar a atuação da Suprema Corte, principalmente quando se leva em conta os quóruns reservados para declaração de inconstitucionalidade e eventual modulação dos efeitos d</w:t>
      </w:r>
      <w:r w:rsidR="005610B6">
        <w:t>e sua</w:t>
      </w:r>
      <w:r>
        <w:t>s decisões.</w:t>
      </w:r>
    </w:p>
    <w:p w:rsidR="005C5B44" w:rsidRDefault="00315122" w:rsidP="00A85ECB">
      <w:pPr>
        <w:pStyle w:val="06-Pargrafodetexto-CLG"/>
      </w:pPr>
      <w:r>
        <w:t xml:space="preserve">A PEC nº </w:t>
      </w:r>
      <w:r w:rsidR="00ED6435">
        <w:t>35</w:t>
      </w:r>
      <w:r>
        <w:t>, de 2015, portanto, contribui de forma imp</w:t>
      </w:r>
      <w:r w:rsidR="005610B6">
        <w:t xml:space="preserve">ortante para </w:t>
      </w:r>
      <w:r w:rsidR="009F0733">
        <w:t>o debate</w:t>
      </w:r>
      <w:r w:rsidR="005610B6">
        <w:t xml:space="preserve"> da democracia brasileira</w:t>
      </w:r>
      <w:r w:rsidR="009F0733">
        <w:t xml:space="preserve"> e</w:t>
      </w:r>
      <w:r w:rsidR="005610B6">
        <w:t xml:space="preserve"> </w:t>
      </w:r>
      <w:r w:rsidR="009F0733">
        <w:t xml:space="preserve">a </w:t>
      </w:r>
      <w:r w:rsidR="005610B6">
        <w:t>sua</w:t>
      </w:r>
      <w:r w:rsidR="005C5B44">
        <w:t xml:space="preserve"> aprovação somará ao debate uma proposta sensata</w:t>
      </w:r>
      <w:r w:rsidR="005610B6">
        <w:t xml:space="preserve"> e equilibrada</w:t>
      </w:r>
      <w:r w:rsidR="009F0733">
        <w:t>.</w:t>
      </w:r>
    </w:p>
    <w:p w:rsidR="00315122" w:rsidRDefault="00315122" w:rsidP="00A85ECB">
      <w:pPr>
        <w:pStyle w:val="06-Pargrafodetexto-CLG"/>
      </w:pPr>
      <w:r>
        <w:t xml:space="preserve">Entendemos </w:t>
      </w:r>
      <w:r w:rsidR="005C5B44">
        <w:t>apenas que não tem pertinência lógica inserir entre os representantes de órgãos estatais relacionados com a prestação jurisdicional, como presidentes de tribunais do Poder Judiciário, assim como do Ministério Público e da Ordem dos Advogados, o presidente do Tribunal de Contas da União</w:t>
      </w:r>
      <w:r w:rsidR="0081781F">
        <w:t xml:space="preserve"> (TCU)</w:t>
      </w:r>
      <w:r w:rsidR="005C5B44">
        <w:t>.</w:t>
      </w:r>
    </w:p>
    <w:p w:rsidR="005C5B44" w:rsidRDefault="005C5B44" w:rsidP="00A85ECB">
      <w:pPr>
        <w:pStyle w:val="06-Pargrafodetexto-CLG"/>
      </w:pPr>
      <w:r>
        <w:t xml:space="preserve">Tal corte de contas, cabe recordar, é órgão de natureza administrativa, a que compete auxiliar o Congresso Nacional em sua incumbência constitucional de </w:t>
      </w:r>
      <w:r w:rsidR="0081781F">
        <w:t xml:space="preserve">apreciar a prestação de contas do Poder Executivo. Não se trata, malgrado o nome, de um órgão judicante, razão porque entendemos descabida a presença de seu presidente entre os integrantes do colegiado incumbido de indicar </w:t>
      </w:r>
      <w:r w:rsidR="00904F0B">
        <w:t xml:space="preserve">ao Presidente da República </w:t>
      </w:r>
      <w:r w:rsidR="0081781F">
        <w:t>lista tríplice de juristas habilitados a compor o STF.</w:t>
      </w:r>
    </w:p>
    <w:p w:rsidR="0081781F" w:rsidRDefault="0081781F" w:rsidP="00A85ECB">
      <w:pPr>
        <w:pStyle w:val="06-Pargrafodetexto-CLG"/>
      </w:pPr>
      <w:r>
        <w:t>Sugerimos substituir o presidente do TCU pelo presidente do Tribunal Superior Eleitoral. Sabe-se que esse cargo é ocupado por um ministro do próprio STF, por definição constitucional nos termos do parágrafo único do art. 119, CF. Sentimos, entretanto, mais apropriado que o colegiado conte com dois nomes do STF, órgão de cúpula do Poder Judiciário, instituição de cujo funcionamento se trata, do que com o representante de uma corte de natureza administrativa.</w:t>
      </w:r>
    </w:p>
    <w:p w:rsidR="0081781F" w:rsidRDefault="0081781F" w:rsidP="00A85ECB">
      <w:pPr>
        <w:pStyle w:val="06-Pargrafodetexto-CLG"/>
      </w:pPr>
      <w:r>
        <w:t xml:space="preserve">Tudo isto considerado, </w:t>
      </w:r>
      <w:r w:rsidR="006209B3">
        <w:t>expressamos a nossa convicção de que a Proposta de Emenda à Constituição merece o respaldo desta Comissão de Constituição, Justiça e Cidadania do Senado Federal.</w:t>
      </w:r>
    </w:p>
    <w:p w:rsidR="00A85ECB" w:rsidRDefault="00A85ECB" w:rsidP="00A85ECB">
      <w:pPr>
        <w:pStyle w:val="05-Subttulo-CLG"/>
      </w:pPr>
      <w:r>
        <w:lastRenderedPageBreak/>
        <w:t>III – VOTO</w:t>
      </w:r>
    </w:p>
    <w:p w:rsidR="00A85ECB" w:rsidRDefault="006209B3" w:rsidP="00A85ECB">
      <w:pPr>
        <w:pStyle w:val="06-Pargrafodetexto-CLG"/>
      </w:pPr>
      <w:r>
        <w:t>Em face do exposto, opinamos pela constitucionalidade, juridicidade, boa técnica legislativa e</w:t>
      </w:r>
      <w:r w:rsidR="005F506C">
        <w:t xml:space="preserve"> adequação regimental da </w:t>
      </w:r>
      <w:r w:rsidR="00BE3B7E">
        <w:t>Proposta</w:t>
      </w:r>
      <w:r w:rsidR="005F506C">
        <w:t xml:space="preserve"> de Emenda à Constituição nº 35, de 2015, e votamos, quanto ao mérito, por sua aprovação, adotada a seguinte emenda:</w:t>
      </w:r>
    </w:p>
    <w:p w:rsidR="00094674" w:rsidRPr="007B4C0D" w:rsidRDefault="005F506C" w:rsidP="00094674">
      <w:pPr>
        <w:pStyle w:val="09-Ttuloemenda-CLG"/>
      </w:pPr>
      <w:r w:rsidRPr="007B4C0D">
        <w:t xml:space="preserve">EMENDA Nº </w:t>
      </w:r>
      <w:r w:rsidR="006C5AAF">
        <w:t>1</w:t>
      </w:r>
      <w:r w:rsidRPr="007B4C0D">
        <w:t xml:space="preserve"> </w:t>
      </w:r>
      <w:r w:rsidR="00172F23">
        <w:t>-</w:t>
      </w:r>
      <w:r w:rsidRPr="007B4C0D">
        <w:t xml:space="preserve"> CCJ</w:t>
      </w:r>
    </w:p>
    <w:p w:rsidR="005F506C" w:rsidRDefault="005F506C" w:rsidP="005F506C">
      <w:pPr>
        <w:pStyle w:val="06-Pargrafodetexto-CLG"/>
      </w:pPr>
      <w:r>
        <w:t>Dê-se ao inciso V do § 1º do art. 101 da Constituição, nos termos do art. 1º da Proposta de Emenda à Constituição nº 35, de 2015, a seguinte redação:</w:t>
      </w:r>
    </w:p>
    <w:p w:rsidR="003F3F2A" w:rsidRDefault="000B529E" w:rsidP="003F3F2A">
      <w:pPr>
        <w:pStyle w:val="07-Citaolegal-CLG"/>
        <w:spacing w:after="0"/>
      </w:pPr>
      <w:r>
        <w:t>“</w:t>
      </w:r>
      <w:r w:rsidR="003F3F2A">
        <w:t>Art. 1º ..........................................................................................</w:t>
      </w:r>
    </w:p>
    <w:p w:rsidR="003F3F2A" w:rsidRDefault="003F3F2A" w:rsidP="003F3F2A">
      <w:pPr>
        <w:pStyle w:val="07-Citaolegal-CLG"/>
        <w:spacing w:after="0"/>
      </w:pPr>
    </w:p>
    <w:p w:rsidR="005F506C" w:rsidRPr="005F506C" w:rsidRDefault="003F3F2A" w:rsidP="003F3F2A">
      <w:pPr>
        <w:pStyle w:val="07-Citaolegal-CLG"/>
        <w:spacing w:after="0"/>
        <w:ind w:left="2552"/>
      </w:pPr>
      <w:r>
        <w:t>'</w:t>
      </w:r>
      <w:r w:rsidR="005F506C" w:rsidRPr="005F506C">
        <w:t>Art. 101. ..................................................</w:t>
      </w:r>
      <w:r w:rsidR="00D66B4D">
        <w:t>...................</w:t>
      </w:r>
      <w:r w:rsidR="005F506C" w:rsidRPr="005F506C">
        <w:t>........</w:t>
      </w:r>
    </w:p>
    <w:p w:rsidR="005F506C" w:rsidRPr="005F506C" w:rsidRDefault="005F506C" w:rsidP="003F3F2A">
      <w:pPr>
        <w:pStyle w:val="07-Citaolegal-CLG"/>
        <w:spacing w:after="0"/>
        <w:ind w:left="2552"/>
      </w:pPr>
      <w:r w:rsidRPr="005F506C">
        <w:t>§ 1º .......................................................................</w:t>
      </w:r>
      <w:r w:rsidR="00D66B4D">
        <w:t>................</w:t>
      </w:r>
    </w:p>
    <w:p w:rsidR="005F506C" w:rsidRPr="005F506C" w:rsidRDefault="005F506C" w:rsidP="003F3F2A">
      <w:pPr>
        <w:pStyle w:val="07-Citaolegal-CLG"/>
        <w:spacing w:after="0"/>
        <w:ind w:left="2552"/>
      </w:pPr>
      <w:r w:rsidRPr="005F506C">
        <w:t>..................................................................................</w:t>
      </w:r>
      <w:r w:rsidR="003F3F2A">
        <w:t>............</w:t>
      </w:r>
    </w:p>
    <w:p w:rsidR="00976C82" w:rsidRDefault="005F506C" w:rsidP="003F3F2A">
      <w:pPr>
        <w:pStyle w:val="08-Citaolegal-ltimalinha-CLG"/>
        <w:spacing w:after="0"/>
        <w:ind w:left="2552"/>
      </w:pPr>
      <w:r w:rsidRPr="005F506C">
        <w:t xml:space="preserve">V </w:t>
      </w:r>
      <w:r w:rsidR="00D66B4D">
        <w:t>–</w:t>
      </w:r>
      <w:r w:rsidRPr="005F506C">
        <w:t xml:space="preserve"> </w:t>
      </w:r>
      <w:proofErr w:type="gramStart"/>
      <w:r w:rsidRPr="005F506C">
        <w:t>o</w:t>
      </w:r>
      <w:proofErr w:type="gramEnd"/>
      <w:r w:rsidRPr="005F506C">
        <w:t xml:space="preserve"> Presidente do Tribunal Superior Eleitoral.</w:t>
      </w:r>
    </w:p>
    <w:p w:rsidR="005F506C" w:rsidRPr="005F506C" w:rsidRDefault="00976C82" w:rsidP="00976C82">
      <w:pPr>
        <w:pStyle w:val="07-Citaolegal-CLG"/>
        <w:spacing w:after="0"/>
        <w:ind w:left="2552"/>
      </w:pPr>
      <w:r w:rsidRPr="005F506C">
        <w:t>..................................................................................</w:t>
      </w:r>
      <w:r>
        <w:t>...</w:t>
      </w:r>
      <w:r w:rsidR="000B529E">
        <w:t>’”</w:t>
      </w:r>
    </w:p>
    <w:p w:rsidR="00A85ECB" w:rsidRDefault="005F506C" w:rsidP="00D66B4D">
      <w:pPr>
        <w:pStyle w:val="10-Local-CLG"/>
      </w:pPr>
      <w:r>
        <w:t>S</w:t>
      </w:r>
      <w:r w:rsidR="00C218D0">
        <w:t>ala da Comissão,</w:t>
      </w:r>
      <w:r w:rsidR="006C5AAF">
        <w:t xml:space="preserve"> 24 de fevereiro de 2016.</w:t>
      </w:r>
    </w:p>
    <w:p w:rsidR="00A85ECB" w:rsidRPr="00724990" w:rsidRDefault="006C5AAF" w:rsidP="006C5AAF">
      <w:pPr>
        <w:pStyle w:val="11-Assinaturas-CLG"/>
        <w:ind w:hanging="4539"/>
        <w:jc w:val="right"/>
      </w:pPr>
      <w:r>
        <w:t>Senador JOSÉ MARANHÃO</w:t>
      </w:r>
      <w:r w:rsidR="00A85ECB">
        <w:t>, Presidente</w:t>
      </w:r>
    </w:p>
    <w:p w:rsidR="00A85ECB" w:rsidRDefault="006C5AAF" w:rsidP="006C5AAF">
      <w:pPr>
        <w:pStyle w:val="11-Assinaturas-CLG"/>
        <w:ind w:hanging="4539"/>
        <w:jc w:val="right"/>
      </w:pPr>
      <w:r>
        <w:t>Senador ANTONIO ANASTASIA</w:t>
      </w:r>
      <w:r w:rsidR="00A85ECB">
        <w:t>, Relator</w:t>
      </w:r>
    </w:p>
    <w:sectPr w:rsidR="00A85ECB" w:rsidSect="0087368E">
      <w:headerReference w:type="even" r:id="rId6"/>
      <w:headerReference w:type="default" r:id="rId7"/>
      <w:footerReference w:type="default" r:id="rId8"/>
      <w:footerReference w:type="first" r:id="rId9"/>
      <w:pgSz w:w="11906" w:h="16838" w:code="9"/>
      <w:pgMar w:top="1985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071B" w:rsidRDefault="00BB071B" w:rsidP="00A85ECB">
      <w:pPr>
        <w:spacing w:after="0" w:line="240" w:lineRule="auto"/>
      </w:pPr>
      <w:r>
        <w:separator/>
      </w:r>
    </w:p>
  </w:endnote>
  <w:endnote w:type="continuationSeparator" w:id="0">
    <w:p w:rsidR="00BB071B" w:rsidRDefault="00BB071B" w:rsidP="00A85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BFC" w:rsidRDefault="00660BFC">
    <w:pPr>
      <w:pStyle w:val="Rodap"/>
      <w:rPr>
        <w:i/>
        <w:sz w:val="18"/>
      </w:rPr>
    </w:pPr>
    <w:r w:rsidRPr="005C0FDC">
      <w:rPr>
        <w:i/>
        <w:sz w:val="18"/>
        <w:szCs w:val="18"/>
      </w:rPr>
      <w:t>ar2015-09995</w:t>
    </w:r>
    <w:r>
      <w:rPr>
        <w:i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BFC" w:rsidRPr="00342E7D" w:rsidRDefault="00660BFC">
    <w:pPr>
      <w:pStyle w:val="Rodap"/>
      <w:rPr>
        <w:i/>
        <w:sz w:val="18"/>
        <w:szCs w:val="18"/>
      </w:rPr>
    </w:pPr>
    <w:r w:rsidRPr="00342E7D">
      <w:rPr>
        <w:i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071B" w:rsidRDefault="00BB071B" w:rsidP="00A85ECB">
      <w:pPr>
        <w:spacing w:after="0" w:line="240" w:lineRule="auto"/>
      </w:pPr>
      <w:r>
        <w:separator/>
      </w:r>
    </w:p>
  </w:footnote>
  <w:footnote w:type="continuationSeparator" w:id="0">
    <w:p w:rsidR="00BB071B" w:rsidRDefault="00BB071B" w:rsidP="00A85E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BFC" w:rsidRDefault="00660BFC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60BFC" w:rsidRDefault="00660BFC">
    <w:pPr>
      <w:pStyle w:val="Cabealho"/>
      <w:ind w:right="360"/>
    </w:pPr>
  </w:p>
  <w:p w:rsidR="00660BFC" w:rsidRDefault="00660BFC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BFC" w:rsidRDefault="00660BFC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20CA3">
      <w:rPr>
        <w:rStyle w:val="Nmerodepgina"/>
        <w:noProof/>
      </w:rPr>
      <w:t>5</w:t>
    </w:r>
    <w:r>
      <w:rPr>
        <w:rStyle w:val="Nmerodepgina"/>
      </w:rPr>
      <w:fldChar w:fldCharType="end"/>
    </w:r>
  </w:p>
  <w:p w:rsidR="00660BFC" w:rsidRDefault="00660BFC">
    <w:pPr>
      <w:pStyle w:val="Cabealho"/>
      <w:ind w:right="360"/>
    </w:pPr>
  </w:p>
  <w:p w:rsidR="00660BFC" w:rsidRDefault="00660BF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ECB"/>
    <w:rsid w:val="000119F8"/>
    <w:rsid w:val="0003485E"/>
    <w:rsid w:val="00055CBB"/>
    <w:rsid w:val="000671F6"/>
    <w:rsid w:val="0007300D"/>
    <w:rsid w:val="00094674"/>
    <w:rsid w:val="000A5CCC"/>
    <w:rsid w:val="000B529E"/>
    <w:rsid w:val="000D61E9"/>
    <w:rsid w:val="00111C7B"/>
    <w:rsid w:val="001234EB"/>
    <w:rsid w:val="0014058C"/>
    <w:rsid w:val="00172F23"/>
    <w:rsid w:val="0019646D"/>
    <w:rsid w:val="001C7A12"/>
    <w:rsid w:val="001D1064"/>
    <w:rsid w:val="001E4F36"/>
    <w:rsid w:val="001F7438"/>
    <w:rsid w:val="002029DB"/>
    <w:rsid w:val="00243B72"/>
    <w:rsid w:val="002862B9"/>
    <w:rsid w:val="002C6C99"/>
    <w:rsid w:val="002D169A"/>
    <w:rsid w:val="002D742A"/>
    <w:rsid w:val="002F08FB"/>
    <w:rsid w:val="00315122"/>
    <w:rsid w:val="00385A9D"/>
    <w:rsid w:val="003B3A14"/>
    <w:rsid w:val="003B6BA9"/>
    <w:rsid w:val="003C5949"/>
    <w:rsid w:val="003E0C83"/>
    <w:rsid w:val="003F3F2A"/>
    <w:rsid w:val="003F695A"/>
    <w:rsid w:val="00415FE4"/>
    <w:rsid w:val="004254A4"/>
    <w:rsid w:val="0048265E"/>
    <w:rsid w:val="004D4188"/>
    <w:rsid w:val="0050661C"/>
    <w:rsid w:val="005079CB"/>
    <w:rsid w:val="00527805"/>
    <w:rsid w:val="005427DE"/>
    <w:rsid w:val="0055336D"/>
    <w:rsid w:val="005610B6"/>
    <w:rsid w:val="0059291D"/>
    <w:rsid w:val="005B622E"/>
    <w:rsid w:val="005C0FDC"/>
    <w:rsid w:val="005C5B44"/>
    <w:rsid w:val="005F506C"/>
    <w:rsid w:val="005F66EF"/>
    <w:rsid w:val="006209B3"/>
    <w:rsid w:val="00660BFC"/>
    <w:rsid w:val="00666B40"/>
    <w:rsid w:val="00677C61"/>
    <w:rsid w:val="006B2AD4"/>
    <w:rsid w:val="006C5AAF"/>
    <w:rsid w:val="00707453"/>
    <w:rsid w:val="00734356"/>
    <w:rsid w:val="0076690F"/>
    <w:rsid w:val="00786E12"/>
    <w:rsid w:val="00796409"/>
    <w:rsid w:val="007B3369"/>
    <w:rsid w:val="007B4C0D"/>
    <w:rsid w:val="007F6C25"/>
    <w:rsid w:val="00800E94"/>
    <w:rsid w:val="00806347"/>
    <w:rsid w:val="00814959"/>
    <w:rsid w:val="0081781F"/>
    <w:rsid w:val="008707F5"/>
    <w:rsid w:val="0087368E"/>
    <w:rsid w:val="008B6C4D"/>
    <w:rsid w:val="008C68DA"/>
    <w:rsid w:val="008D22A3"/>
    <w:rsid w:val="008E0DA5"/>
    <w:rsid w:val="008F0E0E"/>
    <w:rsid w:val="00904F0B"/>
    <w:rsid w:val="00920CA3"/>
    <w:rsid w:val="00957CF0"/>
    <w:rsid w:val="00960257"/>
    <w:rsid w:val="00966668"/>
    <w:rsid w:val="00976C82"/>
    <w:rsid w:val="009A5415"/>
    <w:rsid w:val="009F0733"/>
    <w:rsid w:val="009F55F3"/>
    <w:rsid w:val="00A070DD"/>
    <w:rsid w:val="00A85ECB"/>
    <w:rsid w:val="00AB1BB9"/>
    <w:rsid w:val="00B26EDC"/>
    <w:rsid w:val="00B34C28"/>
    <w:rsid w:val="00B44A19"/>
    <w:rsid w:val="00B5322A"/>
    <w:rsid w:val="00B57CDF"/>
    <w:rsid w:val="00B967AF"/>
    <w:rsid w:val="00BB071B"/>
    <w:rsid w:val="00BE3B7E"/>
    <w:rsid w:val="00C218D0"/>
    <w:rsid w:val="00C307CA"/>
    <w:rsid w:val="00C33D52"/>
    <w:rsid w:val="00C51591"/>
    <w:rsid w:val="00C54477"/>
    <w:rsid w:val="00C802CF"/>
    <w:rsid w:val="00C93494"/>
    <w:rsid w:val="00CA09B2"/>
    <w:rsid w:val="00CE2C38"/>
    <w:rsid w:val="00CF4AAD"/>
    <w:rsid w:val="00D20B94"/>
    <w:rsid w:val="00D53338"/>
    <w:rsid w:val="00D66B4D"/>
    <w:rsid w:val="00DB16C1"/>
    <w:rsid w:val="00E241F7"/>
    <w:rsid w:val="00E42F6D"/>
    <w:rsid w:val="00EC05B2"/>
    <w:rsid w:val="00ED38EE"/>
    <w:rsid w:val="00ED6435"/>
    <w:rsid w:val="00F2109B"/>
    <w:rsid w:val="00F22410"/>
    <w:rsid w:val="00F54DAD"/>
    <w:rsid w:val="00F56077"/>
    <w:rsid w:val="00F92A0D"/>
    <w:rsid w:val="00FA009E"/>
    <w:rsid w:val="00FA22FA"/>
    <w:rsid w:val="00FE762A"/>
    <w:rsid w:val="00FF23DE"/>
    <w:rsid w:val="00FF5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5300B8-E96A-43C4-BBE9-98723AB68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58C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pt-BR"/>
    </w:rPr>
  </w:style>
  <w:style w:type="character" w:customStyle="1" w:styleId="CabealhoChar">
    <w:name w:val="Cabeçalho Char"/>
    <w:link w:val="Cabealho"/>
    <w:semiHidden/>
    <w:rsid w:val="00A85EC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semiHidden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pt-BR"/>
    </w:rPr>
  </w:style>
  <w:style w:type="character" w:customStyle="1" w:styleId="RodapChar">
    <w:name w:val="Rodapé Char"/>
    <w:link w:val="Rodap"/>
    <w:semiHidden/>
    <w:rsid w:val="00A85EC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semiHidden/>
    <w:rsid w:val="00A85ECB"/>
  </w:style>
  <w:style w:type="paragraph" w:customStyle="1" w:styleId="01-Minuta-CLG">
    <w:name w:val="01 - Minuta - CLG"/>
    <w:link w:val="01-Minuta-CLGChar"/>
    <w:rsid w:val="00A85ECB"/>
    <w:pPr>
      <w:spacing w:after="180"/>
      <w:jc w:val="center"/>
    </w:pPr>
    <w:rPr>
      <w:rFonts w:ascii="Times New Roman" w:eastAsia="Times New Roman" w:hAnsi="Times New Roman"/>
      <w:sz w:val="24"/>
    </w:rPr>
  </w:style>
  <w:style w:type="paragraph" w:customStyle="1" w:styleId="02-TtuloPrincipal-CLG">
    <w:name w:val="02 - Título Principal - CLG"/>
    <w:link w:val="02-TtuloPrincipal-CLGChar"/>
    <w:rsid w:val="00A85ECB"/>
    <w:pPr>
      <w:spacing w:after="960"/>
      <w:jc w:val="center"/>
    </w:pPr>
    <w:rPr>
      <w:rFonts w:ascii="Times New Roman" w:eastAsia="Times New Roman" w:hAnsi="Times New Roman"/>
      <w:b/>
      <w:bCs/>
      <w:sz w:val="32"/>
    </w:rPr>
  </w:style>
  <w:style w:type="paragraph" w:customStyle="1" w:styleId="03-Ementa-CLG">
    <w:name w:val="03 - Ementa - CLG"/>
    <w:link w:val="03-Ementa-CLGCharChar"/>
    <w:rsid w:val="00A85ECB"/>
    <w:pPr>
      <w:spacing w:after="960"/>
      <w:ind w:left="3686"/>
      <w:jc w:val="both"/>
    </w:pPr>
    <w:rPr>
      <w:rFonts w:ascii="Times New Roman" w:eastAsia="Arial Unicode MS" w:hAnsi="Times New Roman"/>
      <w:sz w:val="24"/>
      <w:szCs w:val="24"/>
    </w:rPr>
  </w:style>
  <w:style w:type="character" w:customStyle="1" w:styleId="03-Ementa-CLGCharChar">
    <w:name w:val="03 - Ementa - CLG Char Char"/>
    <w:link w:val="03-Ementa-CLG"/>
    <w:rsid w:val="00A85ECB"/>
    <w:rPr>
      <w:rFonts w:ascii="Times New Roman" w:eastAsia="Arial Unicode MS" w:hAnsi="Times New Roman"/>
      <w:sz w:val="24"/>
      <w:szCs w:val="24"/>
      <w:lang w:eastAsia="pt-BR" w:bidi="ar-SA"/>
    </w:rPr>
  </w:style>
  <w:style w:type="paragraph" w:customStyle="1" w:styleId="04-Relatoria-CLG">
    <w:name w:val="04 - Relatoria - CLG"/>
    <w:link w:val="04-Relatoria-CLGChar"/>
    <w:rsid w:val="00A85ECB"/>
    <w:pPr>
      <w:spacing w:after="960"/>
      <w:ind w:left="1440"/>
    </w:pPr>
    <w:rPr>
      <w:rFonts w:ascii="Times New Roman" w:eastAsia="Times New Roman" w:hAnsi="Times New Roman"/>
      <w:sz w:val="28"/>
    </w:rPr>
  </w:style>
  <w:style w:type="paragraph" w:customStyle="1" w:styleId="05-Subttulo-CLG">
    <w:name w:val="05 - Subtítulo - CLG"/>
    <w:link w:val="05-Subttulo-CLGChar"/>
    <w:rsid w:val="00A85ECB"/>
    <w:pPr>
      <w:spacing w:after="480"/>
      <w:jc w:val="both"/>
    </w:pPr>
    <w:rPr>
      <w:rFonts w:ascii="Times New Roman" w:eastAsia="Times New Roman" w:hAnsi="Times New Roman"/>
      <w:b/>
      <w:bCs/>
      <w:sz w:val="28"/>
    </w:rPr>
  </w:style>
  <w:style w:type="paragraph" w:customStyle="1" w:styleId="06-Pargrafodetexto-CLG">
    <w:name w:val="06 - Parágrafo de texto - CLG"/>
    <w:link w:val="06-Pargrafodetexto-CLGChar"/>
    <w:rsid w:val="00A85ECB"/>
    <w:pPr>
      <w:spacing w:after="360"/>
      <w:ind w:firstLine="1418"/>
      <w:jc w:val="both"/>
    </w:pPr>
    <w:rPr>
      <w:rFonts w:ascii="Times New Roman" w:eastAsia="Times New Roman" w:hAnsi="Times New Roman"/>
      <w:sz w:val="28"/>
    </w:rPr>
  </w:style>
  <w:style w:type="character" w:customStyle="1" w:styleId="01-Minuta-CLGChar">
    <w:name w:val="01 - Minuta - CLG Char"/>
    <w:link w:val="01-Minuta-CLG"/>
    <w:rsid w:val="00A85ECB"/>
    <w:rPr>
      <w:rFonts w:ascii="Times New Roman" w:eastAsia="Times New Roman" w:hAnsi="Times New Roman"/>
      <w:sz w:val="24"/>
      <w:lang w:eastAsia="pt-BR" w:bidi="ar-SA"/>
    </w:rPr>
  </w:style>
  <w:style w:type="paragraph" w:customStyle="1" w:styleId="10-Local-CLG">
    <w:name w:val="10 - Local - CLG"/>
    <w:link w:val="10-Local-CLGChar"/>
    <w:rsid w:val="00A85ECB"/>
    <w:pPr>
      <w:spacing w:before="960" w:after="720"/>
      <w:ind w:firstLine="2520"/>
      <w:jc w:val="both"/>
    </w:pPr>
    <w:rPr>
      <w:rFonts w:ascii="Times New Roman" w:eastAsia="Times New Roman" w:hAnsi="Times New Roman"/>
      <w:sz w:val="28"/>
    </w:rPr>
  </w:style>
  <w:style w:type="paragraph" w:customStyle="1" w:styleId="11-Assinaturas-CLG">
    <w:name w:val="11 - Assinaturas - CLG"/>
    <w:link w:val="11-Assinaturas-CLGChar"/>
    <w:rsid w:val="00A85ECB"/>
    <w:pPr>
      <w:spacing w:after="960"/>
      <w:ind w:left="6240"/>
      <w:jc w:val="both"/>
    </w:pPr>
    <w:rPr>
      <w:rFonts w:ascii="Times New Roman" w:eastAsia="Times New Roman" w:hAnsi="Times New Roman"/>
      <w:sz w:val="28"/>
    </w:rPr>
  </w:style>
  <w:style w:type="character" w:customStyle="1" w:styleId="02-TtuloPrincipal-CLGChar">
    <w:name w:val="02 - Título Principal - CLG Char"/>
    <w:link w:val="02-TtuloPrincipal-CLG"/>
    <w:rsid w:val="00A85ECB"/>
    <w:rPr>
      <w:rFonts w:ascii="Times New Roman" w:eastAsia="Times New Roman" w:hAnsi="Times New Roman"/>
      <w:b/>
      <w:bCs/>
      <w:sz w:val="32"/>
      <w:lang w:eastAsia="pt-BR" w:bidi="ar-SA"/>
    </w:rPr>
  </w:style>
  <w:style w:type="character" w:customStyle="1" w:styleId="04-Relatoria-CLGChar">
    <w:name w:val="04 - Relatoria - CLG Char"/>
    <w:link w:val="04-Relatoria-CLG"/>
    <w:rsid w:val="00A85ECB"/>
    <w:rPr>
      <w:rFonts w:ascii="Times New Roman" w:eastAsia="Times New Roman" w:hAnsi="Times New Roman"/>
      <w:sz w:val="28"/>
      <w:lang w:eastAsia="pt-BR" w:bidi="ar-SA"/>
    </w:rPr>
  </w:style>
  <w:style w:type="character" w:customStyle="1" w:styleId="05-Subttulo-CLGChar">
    <w:name w:val="05 - Subtítulo - CLG Char"/>
    <w:link w:val="05-Subttulo-CLG"/>
    <w:rsid w:val="00A85ECB"/>
    <w:rPr>
      <w:rFonts w:ascii="Times New Roman" w:eastAsia="Times New Roman" w:hAnsi="Times New Roman"/>
      <w:b/>
      <w:bCs/>
      <w:sz w:val="28"/>
      <w:lang w:eastAsia="pt-BR" w:bidi="ar-SA"/>
    </w:rPr>
  </w:style>
  <w:style w:type="character" w:customStyle="1" w:styleId="06-Pargrafodetexto-CLGChar">
    <w:name w:val="06 - Parágrafo de texto - CLG Char"/>
    <w:link w:val="06-Pargrafodetexto-CLG"/>
    <w:rsid w:val="00A85ECB"/>
    <w:rPr>
      <w:rFonts w:ascii="Times New Roman" w:eastAsia="Times New Roman" w:hAnsi="Times New Roman"/>
      <w:sz w:val="28"/>
      <w:lang w:eastAsia="pt-BR" w:bidi="ar-SA"/>
    </w:rPr>
  </w:style>
  <w:style w:type="character" w:customStyle="1" w:styleId="10-Local-CLGChar">
    <w:name w:val="10 - Local - CLG Char"/>
    <w:link w:val="10-Local-CLG"/>
    <w:rsid w:val="00A85ECB"/>
    <w:rPr>
      <w:rFonts w:ascii="Times New Roman" w:eastAsia="Times New Roman" w:hAnsi="Times New Roman"/>
      <w:sz w:val="28"/>
      <w:lang w:eastAsia="pt-BR" w:bidi="ar-SA"/>
    </w:rPr>
  </w:style>
  <w:style w:type="character" w:customStyle="1" w:styleId="11-Assinaturas-CLGChar">
    <w:name w:val="11 - Assinaturas - CLG Char"/>
    <w:link w:val="11-Assinaturas-CLG"/>
    <w:rsid w:val="00A85ECB"/>
    <w:rPr>
      <w:rFonts w:ascii="Times New Roman" w:eastAsia="Times New Roman" w:hAnsi="Times New Roman"/>
      <w:sz w:val="28"/>
      <w:lang w:eastAsia="pt-BR" w:bidi="ar-SA"/>
    </w:rPr>
  </w:style>
  <w:style w:type="paragraph" w:customStyle="1" w:styleId="07-Citaolegal-CLG">
    <w:name w:val="07 - Citação legal - CLG"/>
    <w:rsid w:val="00A85ECB"/>
    <w:pPr>
      <w:spacing w:after="120"/>
      <w:ind w:left="1985" w:firstLine="567"/>
      <w:jc w:val="both"/>
    </w:pPr>
    <w:rPr>
      <w:rFonts w:ascii="Times New Roman" w:eastAsia="Times New Roman" w:hAnsi="Times New Roman"/>
      <w:bCs/>
      <w:sz w:val="24"/>
    </w:rPr>
  </w:style>
  <w:style w:type="paragraph" w:customStyle="1" w:styleId="08-Citaolegal-ltimalinha-CLG">
    <w:name w:val="08 - Citação legal - última linha - CLG"/>
    <w:rsid w:val="00A85ECB"/>
    <w:pPr>
      <w:spacing w:after="480"/>
      <w:ind w:left="1985" w:firstLine="567"/>
      <w:jc w:val="both"/>
    </w:pPr>
    <w:rPr>
      <w:rFonts w:ascii="Times New Roman" w:eastAsia="Times New Roman" w:hAnsi="Times New Roman"/>
      <w:sz w:val="24"/>
    </w:rPr>
  </w:style>
  <w:style w:type="paragraph" w:customStyle="1" w:styleId="09-Ttuloemenda-CLG">
    <w:name w:val="09 - Título emenda - CLG"/>
    <w:rsid w:val="00A85ECB"/>
    <w:pPr>
      <w:spacing w:before="480" w:after="360"/>
      <w:jc w:val="center"/>
    </w:pPr>
    <w:rPr>
      <w:rFonts w:ascii="Times New Roman" w:eastAsia="Times New Roman" w:hAnsi="Times New Roman"/>
      <w:b/>
      <w:bCs/>
      <w:spacing w:val="-4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1351</Words>
  <Characters>7297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8631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CONLEG - Consultoria Legislativa do Senado Federal</dc:creator>
  <cp:keywords/>
  <cp:lastModifiedBy>Caroline de Araújo Ribeiro</cp:lastModifiedBy>
  <cp:revision>4</cp:revision>
  <dcterms:created xsi:type="dcterms:W3CDTF">2016-02-24T13:59:00Z</dcterms:created>
  <dcterms:modified xsi:type="dcterms:W3CDTF">2016-02-24T17:29:00Z</dcterms:modified>
</cp:coreProperties>
</file>