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A44" w:rsidRDefault="00703A44" w:rsidP="00703A44">
      <w:pPr>
        <w:pStyle w:val="02-TtuloPrincipal-CLG"/>
      </w:pPr>
      <w:r>
        <w:rPr>
          <w:caps/>
        </w:rPr>
        <w:t>Parecer</w:t>
      </w:r>
      <w:r>
        <w:t xml:space="preserve"> Nº     </w:t>
      </w:r>
      <w:proofErr w:type="gramStart"/>
      <w:r>
        <w:t xml:space="preserve">  ,</w:t>
      </w:r>
      <w:proofErr w:type="gramEnd"/>
      <w:r>
        <w:t xml:space="preserve"> DE 2015</w:t>
      </w:r>
    </w:p>
    <w:p w:rsidR="00703A44" w:rsidRDefault="00703A44" w:rsidP="00703A44">
      <w:pPr>
        <w:pStyle w:val="03-Ementa-CLG"/>
      </w:pPr>
      <w:r>
        <w:t xml:space="preserve">Da COMISSÃO DE DIREITOS HUMANOS E LEGISLAÇÃO PARTICIPATIVA, sobre o Projeto de Lei do Senado (PLS) nº 334, de 2013, do Senador Paulo Paim, que </w:t>
      </w:r>
      <w:r>
        <w:rPr>
          <w:i/>
        </w:rPr>
        <w:t xml:space="preserve">dispõe sobre o exercício da profissão de </w:t>
      </w:r>
      <w:proofErr w:type="spellStart"/>
      <w:r>
        <w:rPr>
          <w:i/>
        </w:rPr>
        <w:t>Gerontólogo</w:t>
      </w:r>
      <w:proofErr w:type="spellEnd"/>
      <w:r>
        <w:rPr>
          <w:i/>
        </w:rPr>
        <w:t xml:space="preserve"> e dá outras providências</w:t>
      </w:r>
      <w:r>
        <w:t>.</w:t>
      </w:r>
    </w:p>
    <w:p w:rsidR="00703A44" w:rsidRDefault="00703A44" w:rsidP="00703A44">
      <w:pPr>
        <w:pStyle w:val="04-Relatoria-CLG"/>
      </w:pPr>
      <w:r>
        <w:t xml:space="preserve">Relator: Senador </w:t>
      </w:r>
      <w:r>
        <w:rPr>
          <w:b/>
          <w:caps/>
        </w:rPr>
        <w:t>Omar Aziz</w:t>
      </w:r>
    </w:p>
    <w:p w:rsidR="00703A44" w:rsidRDefault="00703A44" w:rsidP="00703A44">
      <w:pPr>
        <w:pStyle w:val="05-Subttulo-CLG"/>
      </w:pPr>
      <w:r>
        <w:t>I – RELATÓRIO</w:t>
      </w:r>
    </w:p>
    <w:p w:rsidR="00703A44" w:rsidRDefault="00703A44" w:rsidP="00703A44">
      <w:pPr>
        <w:pStyle w:val="06-Pargrafodetexto-CLG"/>
      </w:pPr>
      <w:r>
        <w:t xml:space="preserve">O Projeto de Lei do Senado nº 334, de 2013, do Senador Paulo Paim, tem por objetivo regular a profissão de </w:t>
      </w:r>
      <w:proofErr w:type="spellStart"/>
      <w:r>
        <w:t>Gerontólogo</w:t>
      </w:r>
      <w:proofErr w:type="spellEnd"/>
      <w:r>
        <w:t xml:space="preserve">. Foi distribuído inicialmente somente para análise da Comissão de Assuntos Sociais, CAS, para exame terminativo. Porém, por força da aprovação do Requerimento nº 806, de 2015, de minha autoria, o projeto é submetido também à analise desta Comissão de Direitos Humanos e Legislação Participativa. </w:t>
      </w:r>
    </w:p>
    <w:p w:rsidR="00703A44" w:rsidRDefault="00703A44" w:rsidP="00703A44">
      <w:pPr>
        <w:pStyle w:val="06-Pargrafodetexto-CLG"/>
      </w:pPr>
      <w:r>
        <w:t xml:space="preserve"> A proposição regula o exercício dessa profissão, restringindo seu exercício aos que sejam diplomados – por intermédio de estabelecimentos de ensino superior oficiais ou reconhecidos – em: Gerontologia; Tecnólogo em Gerontologia; Tecnólogo em Gerontologia e Desenvolvimento Social, ou, ainda, em curso similar no exterior, após a revalidação e registro do diploma nos órgãos competentes, bem como aos que tenham este exercício amparado por convênios internacionais de intercâmbio.</w:t>
      </w:r>
    </w:p>
    <w:p w:rsidR="00703A44" w:rsidRDefault="00703A44" w:rsidP="00703A44">
      <w:pPr>
        <w:pStyle w:val="06-Pargrafodetexto-CLG"/>
      </w:pPr>
      <w:r>
        <w:t xml:space="preserve">A proposição define as atividades que devem ser desenvolvidas pelo </w:t>
      </w:r>
      <w:proofErr w:type="spellStart"/>
      <w:r>
        <w:t>Gerontólogo</w:t>
      </w:r>
      <w:proofErr w:type="spellEnd"/>
      <w:r>
        <w:t xml:space="preserve"> e aquelas que devem ser desempenhadas pelos Tecnólogos em Gerontologia e Desenvolvimento Social. </w:t>
      </w:r>
    </w:p>
    <w:p w:rsidR="00703A44" w:rsidRDefault="00703A44" w:rsidP="00703A44">
      <w:pPr>
        <w:pStyle w:val="06-Pargrafodetexto-CLG"/>
      </w:pPr>
      <w:r>
        <w:lastRenderedPageBreak/>
        <w:t xml:space="preserve">Finalmente, em seu art. 5º, estabelece o dia 24 de março como o Dia do </w:t>
      </w:r>
      <w:proofErr w:type="spellStart"/>
      <w:r>
        <w:t>Gerontólogo</w:t>
      </w:r>
      <w:proofErr w:type="spellEnd"/>
      <w:r>
        <w:t xml:space="preserve">. </w:t>
      </w:r>
    </w:p>
    <w:p w:rsidR="00703A44" w:rsidRDefault="00703A44" w:rsidP="00703A44">
      <w:pPr>
        <w:pStyle w:val="06-Pargrafodetexto-CLG"/>
      </w:pPr>
      <w:r>
        <w:t xml:space="preserve">Ao justificar a sua iniciativa, afirma o autor que, diante do aumento do número de idosos no Brasil, cresce também a importância do profissional em Gerontologia, que é aquele que se ocupa com </w:t>
      </w:r>
      <w:r w:rsidRPr="00BC1E7B">
        <w:t>o cuidado e a manutenção da qualidade de vida</w:t>
      </w:r>
      <w:r>
        <w:t xml:space="preserve"> do idoso.</w:t>
      </w:r>
    </w:p>
    <w:p w:rsidR="00703A44" w:rsidRDefault="00703A44" w:rsidP="00703A44">
      <w:pPr>
        <w:pStyle w:val="05-Pargrafodetexto-CLG"/>
      </w:pPr>
      <w:r>
        <w:t>Alega ainda que a</w:t>
      </w:r>
      <w:r w:rsidRPr="00677A7E">
        <w:t xml:space="preserve"> profissão de </w:t>
      </w:r>
      <w:proofErr w:type="spellStart"/>
      <w:r w:rsidRPr="00677A7E">
        <w:t>gerontólogo</w:t>
      </w:r>
      <w:proofErr w:type="spellEnd"/>
      <w:r w:rsidRPr="00677A7E">
        <w:t xml:space="preserve"> já é regulamentada em outros países</w:t>
      </w:r>
      <w:r>
        <w:t xml:space="preserve"> e que aqui ela</w:t>
      </w:r>
      <w:r w:rsidRPr="00DB49DA">
        <w:t xml:space="preserve"> </w:t>
      </w:r>
      <w:r>
        <w:t>criará</w:t>
      </w:r>
      <w:r w:rsidRPr="00DB49DA">
        <w:t xml:space="preserve"> uma identidade</w:t>
      </w:r>
      <w:r>
        <w:t xml:space="preserve"> profissional</w:t>
      </w:r>
      <w:r w:rsidRPr="00DB49DA">
        <w:t xml:space="preserve">, exigindo-se </w:t>
      </w:r>
      <w:r>
        <w:t>do profissional compromisso, vedando o acesso à</w:t>
      </w:r>
      <w:r w:rsidRPr="00DB49DA">
        <w:t xml:space="preserve"> atividade</w:t>
      </w:r>
      <w:r>
        <w:t xml:space="preserve"> a pessoas não qualificada</w:t>
      </w:r>
      <w:r w:rsidRPr="00DB49DA">
        <w:t xml:space="preserve">s tecnicamente e sem formação </w:t>
      </w:r>
      <w:r>
        <w:t xml:space="preserve">adequada </w:t>
      </w:r>
      <w:r w:rsidRPr="00DB49DA">
        <w:t>para o seu exercício.</w:t>
      </w:r>
    </w:p>
    <w:p w:rsidR="00703A44" w:rsidRPr="003311AC" w:rsidRDefault="00703A44" w:rsidP="00703A44">
      <w:pPr>
        <w:pStyle w:val="06-Pargrafodetexto-CLG"/>
      </w:pPr>
      <w:r>
        <w:t xml:space="preserve">Até o momento, não foram apresentadas emendas ao projeto. </w:t>
      </w:r>
    </w:p>
    <w:p w:rsidR="00703A44" w:rsidRPr="005523B9" w:rsidRDefault="00703A44" w:rsidP="00703A44">
      <w:pPr>
        <w:pStyle w:val="05-Subttulo-CLG"/>
      </w:pPr>
      <w:r w:rsidRPr="005523B9">
        <w:t>II – ANÁLISE</w:t>
      </w:r>
    </w:p>
    <w:p w:rsidR="00703A44" w:rsidRPr="000A76BD" w:rsidRDefault="00703A44" w:rsidP="00703A44">
      <w:pPr>
        <w:pStyle w:val="06-Pargrafodetexto-CLG"/>
        <w:spacing w:after="480"/>
      </w:pPr>
      <w:r w:rsidRPr="000A76BD">
        <w:t>Nos termos do art. 90, inciso I, combinado com o disposto no art. 10</w:t>
      </w:r>
      <w:r>
        <w:t>2-E</w:t>
      </w:r>
      <w:r w:rsidRPr="000A76BD">
        <w:t xml:space="preserve">, inciso </w:t>
      </w:r>
      <w:r>
        <w:t>V</w:t>
      </w:r>
      <w:r w:rsidRPr="000A76BD">
        <w:t xml:space="preserve">I, do Regimento Interno do Senado Federal, compete </w:t>
      </w:r>
      <w:r>
        <w:t>à CDH opinar sobre</w:t>
      </w:r>
      <w:r w:rsidRPr="000A76BD">
        <w:t xml:space="preserve"> projeto</w:t>
      </w:r>
      <w:r>
        <w:t>s</w:t>
      </w:r>
      <w:r w:rsidRPr="000A76BD">
        <w:t xml:space="preserve"> de lei</w:t>
      </w:r>
      <w:r>
        <w:t xml:space="preserve"> que versem sobre matérias atinentes à proteção aos idosos. </w:t>
      </w:r>
    </w:p>
    <w:p w:rsidR="00703A44" w:rsidRDefault="00703A44" w:rsidP="00703A44">
      <w:pPr>
        <w:pStyle w:val="06-Pargrafodetexto-CLG"/>
        <w:spacing w:after="480"/>
        <w:rPr>
          <w:szCs w:val="28"/>
        </w:rPr>
      </w:pPr>
      <w:r w:rsidRPr="000A76BD">
        <w:rPr>
          <w:szCs w:val="28"/>
        </w:rPr>
        <w:t xml:space="preserve">Sob o aspecto formal, </w:t>
      </w:r>
      <w:r>
        <w:rPr>
          <w:szCs w:val="28"/>
        </w:rPr>
        <w:t>a</w:t>
      </w:r>
      <w:r w:rsidRPr="000A76BD">
        <w:rPr>
          <w:szCs w:val="28"/>
        </w:rPr>
        <w:t xml:space="preserve"> disciplina da matéria é de competência legislativa da União (art. 22,</w:t>
      </w:r>
      <w:r>
        <w:rPr>
          <w:szCs w:val="28"/>
        </w:rPr>
        <w:t xml:space="preserve"> I,</w:t>
      </w:r>
      <w:r w:rsidRPr="000A76BD">
        <w:rPr>
          <w:szCs w:val="28"/>
        </w:rPr>
        <w:t xml:space="preserve"> da C</w:t>
      </w:r>
      <w:r>
        <w:rPr>
          <w:szCs w:val="28"/>
        </w:rPr>
        <w:t>onstituição Federal – C</w:t>
      </w:r>
      <w:r w:rsidRPr="000A76BD">
        <w:rPr>
          <w:szCs w:val="28"/>
        </w:rPr>
        <w:t xml:space="preserve">F) e inclui-se entre as atribuições do Congresso Nacional (art. 48, </w:t>
      </w:r>
      <w:r w:rsidRPr="000A76BD">
        <w:rPr>
          <w:i/>
          <w:szCs w:val="28"/>
        </w:rPr>
        <w:t>caput</w:t>
      </w:r>
      <w:r w:rsidRPr="000A76BD">
        <w:rPr>
          <w:szCs w:val="28"/>
        </w:rPr>
        <w:t>, da CF).</w:t>
      </w:r>
    </w:p>
    <w:p w:rsidR="00703A44" w:rsidRDefault="00703A44" w:rsidP="00703A44">
      <w:pPr>
        <w:pStyle w:val="06-Pargrafodetexto-CLG"/>
        <w:spacing w:after="480"/>
        <w:rPr>
          <w:rStyle w:val="05-Pargrafodetexto-CLGChar"/>
        </w:rPr>
      </w:pPr>
      <w:r>
        <w:rPr>
          <w:rStyle w:val="05-Pargrafodetexto-CLGChar"/>
        </w:rPr>
        <w:t>A</w:t>
      </w:r>
      <w:r w:rsidRPr="00026F0F">
        <w:rPr>
          <w:rStyle w:val="05-Pargrafodetexto-CLGChar"/>
        </w:rPr>
        <w:t xml:space="preserve"> gerontologia</w:t>
      </w:r>
      <w:r>
        <w:rPr>
          <w:rStyle w:val="05-Pargrafodetexto-CLGChar"/>
        </w:rPr>
        <w:t>, conforme ensinam os especialistas,</w:t>
      </w:r>
      <w:r w:rsidRPr="00026F0F">
        <w:rPr>
          <w:rStyle w:val="05-Pargrafodetexto-CLGChar"/>
        </w:rPr>
        <w:t xml:space="preserve"> </w:t>
      </w:r>
      <w:r>
        <w:rPr>
          <w:rStyle w:val="05-Pargrafodetexto-CLGChar"/>
        </w:rPr>
        <w:t xml:space="preserve">é </w:t>
      </w:r>
      <w:r w:rsidRPr="00026F0F">
        <w:rPr>
          <w:rStyle w:val="05-Pargrafodetexto-CLGChar"/>
        </w:rPr>
        <w:t>a</w:t>
      </w:r>
      <w:r w:rsidRPr="00026F0F">
        <w:rPr>
          <w:i/>
          <w:szCs w:val="28"/>
        </w:rPr>
        <w:t xml:space="preserve"> </w:t>
      </w:r>
      <w:r w:rsidRPr="00C375C9">
        <w:rPr>
          <w:rStyle w:val="05-Pargrafodetexto-CLGChar"/>
        </w:rPr>
        <w:t>ciência que estuda o processo de envelhecimento em suas mais diversas dimensões, e se constitui, na prática, na ótica atual, em uma especialidade de diferentes profissões. A gerontologia é multidisciplinar, pois reúne conceitos teóricos provenientes de diferentes disciplinas, em torno do seu objeto de estudo. É interdisciplinar em função da complexidade do fenômeno da velhice</w:t>
      </w:r>
      <w:r>
        <w:rPr>
          <w:rStyle w:val="05-Pargrafodetexto-CLGChar"/>
        </w:rPr>
        <w:t>,</w:t>
      </w:r>
      <w:r w:rsidRPr="00C375C9">
        <w:rPr>
          <w:rStyle w:val="05-Pargrafodetexto-CLGChar"/>
        </w:rPr>
        <w:t xml:space="preserve"> que exige não apenas a união de conhecimentos existentes em diversas disciplinas, mas também a construção de um novo corpo de conhecimento científico que orienta a sua prática.</w:t>
      </w:r>
    </w:p>
    <w:p w:rsidR="00703A44" w:rsidRDefault="00703A44" w:rsidP="00703A44">
      <w:pPr>
        <w:pStyle w:val="06-Pargrafodetexto-CLG"/>
        <w:spacing w:after="480"/>
        <w:rPr>
          <w:rStyle w:val="05-Pargrafodetexto-CLGChar"/>
        </w:rPr>
      </w:pPr>
      <w:r>
        <w:rPr>
          <w:rStyle w:val="05-Pargrafodetexto-CLGChar"/>
        </w:rPr>
        <w:lastRenderedPageBreak/>
        <w:t xml:space="preserve">De fato, é preciso dar ao processo de envelhecimento um novo enfoque. Atualmente, há uma nova compreensão dessa fase da vida, que leva toda a sociedade a reformular seus conceitos e atitudes, para dar às pessoas não só qualidade, mas dignidade em seu cotidiano. </w:t>
      </w:r>
    </w:p>
    <w:p w:rsidR="00703A44" w:rsidRDefault="00703A44" w:rsidP="00703A44">
      <w:pPr>
        <w:pStyle w:val="06-Pargrafodetexto-CLG"/>
        <w:spacing w:after="480"/>
      </w:pPr>
      <w:r>
        <w:rPr>
          <w:rStyle w:val="05-Pargrafodetexto-CLGChar"/>
        </w:rPr>
        <w:t xml:space="preserve">O profissional da gerontologia tem papel fundamental nesse processo e a sua atuação já é uma realidade em nosso País, conforme bem apontou o autor da proposição. Esses profissionais hoje atuam </w:t>
      </w:r>
      <w:r w:rsidRPr="00677A7E">
        <w:t xml:space="preserve">em </w:t>
      </w:r>
      <w:r>
        <w:t>p</w:t>
      </w:r>
      <w:r w:rsidRPr="00677A7E">
        <w:t xml:space="preserve">lanos de </w:t>
      </w:r>
      <w:r>
        <w:t>s</w:t>
      </w:r>
      <w:r w:rsidRPr="00677A7E">
        <w:t xml:space="preserve">aúde, </w:t>
      </w:r>
      <w:r>
        <w:t>c</w:t>
      </w:r>
      <w:r w:rsidRPr="00677A7E">
        <w:t xml:space="preserve">onsultorias de preparação para aposentadoria, </w:t>
      </w:r>
      <w:r>
        <w:t>n</w:t>
      </w:r>
      <w:r w:rsidRPr="00677A7E">
        <w:t xml:space="preserve">úcleos de </w:t>
      </w:r>
      <w:r>
        <w:t>c</w:t>
      </w:r>
      <w:r w:rsidRPr="00677A7E">
        <w:t xml:space="preserve">onvivência para </w:t>
      </w:r>
      <w:r>
        <w:t>i</w:t>
      </w:r>
      <w:r w:rsidRPr="00677A7E">
        <w:t xml:space="preserve">dosos, </w:t>
      </w:r>
      <w:r>
        <w:t>h</w:t>
      </w:r>
      <w:r w:rsidRPr="00677A7E">
        <w:t xml:space="preserve">ospitais-dia geriátricos, em </w:t>
      </w:r>
      <w:proofErr w:type="spellStart"/>
      <w:r>
        <w:t>c</w:t>
      </w:r>
      <w:r w:rsidRPr="00677A7E">
        <w:t>entro-dia</w:t>
      </w:r>
      <w:proofErr w:type="spellEnd"/>
      <w:r w:rsidRPr="00677A7E">
        <w:t xml:space="preserve"> e na área da educação, além de pesquisa</w:t>
      </w:r>
      <w:r>
        <w:t xml:space="preserve"> </w:t>
      </w:r>
      <w:r w:rsidRPr="00677A7E">
        <w:t>básica</w:t>
      </w:r>
      <w:r>
        <w:t>,</w:t>
      </w:r>
      <w:r w:rsidRPr="00677A7E">
        <w:t xml:space="preserve"> principalmente sobre </w:t>
      </w:r>
      <w:r>
        <w:t>o mal</w:t>
      </w:r>
      <w:r w:rsidRPr="00677A7E">
        <w:t xml:space="preserve"> de Alzheimer.</w:t>
      </w:r>
    </w:p>
    <w:p w:rsidR="00703A44" w:rsidRDefault="00703A44" w:rsidP="00703A44">
      <w:pPr>
        <w:pStyle w:val="05-Pargrafodetexto-CLG"/>
      </w:pPr>
      <w:r>
        <w:t>Realmente, é um profissional que, ao lado dos outros já reconhecidos,</w:t>
      </w:r>
      <w:r w:rsidRPr="00677A7E">
        <w:t xml:space="preserve"> completa</w:t>
      </w:r>
      <w:r>
        <w:t xml:space="preserve"> a equipe adequada ao cuidado com o processo do envelhecimento, em suas múltiplas facetas. </w:t>
      </w:r>
      <w:proofErr w:type="spellStart"/>
      <w:r>
        <w:t>Dotar-lhes</w:t>
      </w:r>
      <w:proofErr w:type="spellEnd"/>
      <w:r>
        <w:t xml:space="preserve"> de reconhecimento legal é </w:t>
      </w:r>
      <w:proofErr w:type="spellStart"/>
      <w:r>
        <w:t>fortalecer-lhes</w:t>
      </w:r>
      <w:proofErr w:type="spellEnd"/>
      <w:r>
        <w:t xml:space="preserve"> a profissão e </w:t>
      </w:r>
      <w:proofErr w:type="spellStart"/>
      <w:r>
        <w:t>honrar-lhes</w:t>
      </w:r>
      <w:proofErr w:type="spellEnd"/>
      <w:r>
        <w:t xml:space="preserve"> o seu fiel cumprimento. </w:t>
      </w:r>
    </w:p>
    <w:p w:rsidR="00703A44" w:rsidRDefault="00703A44" w:rsidP="00703A44">
      <w:pPr>
        <w:pStyle w:val="05-Pargrafodetexto-CLG"/>
      </w:pPr>
      <w:r>
        <w:t>Apresento, com a finalidade aperfeiçoar a proposição, e dar real efetividade a seus propósitos, emenda para determinar que</w:t>
      </w:r>
      <w:r w:rsidRPr="003C4DD1">
        <w:t xml:space="preserve"> </w:t>
      </w:r>
      <w:r>
        <w:t xml:space="preserve">os atendimentos relativos à </w:t>
      </w:r>
      <w:r w:rsidRPr="003C4DD1">
        <w:t>prevenção e a manutenção da saúde do idoso</w:t>
      </w:r>
      <w:r>
        <w:t xml:space="preserve"> a serem realizados pelo Sistema Único de Saúde – SUS deverão ser prestados por </w:t>
      </w:r>
      <w:proofErr w:type="spellStart"/>
      <w:r>
        <w:t>Gerontólogos</w:t>
      </w:r>
      <w:proofErr w:type="spellEnd"/>
      <w:r>
        <w:t>.</w:t>
      </w:r>
    </w:p>
    <w:p w:rsidR="00703A44" w:rsidRDefault="00703A44" w:rsidP="00703A44">
      <w:pPr>
        <w:pStyle w:val="05-Pargrafodetexto-CLG"/>
      </w:pPr>
      <w:r>
        <w:t xml:space="preserve">Na mesma linha, ofereço </w:t>
      </w:r>
      <w:proofErr w:type="gramStart"/>
      <w:r>
        <w:t>outra  para</w:t>
      </w:r>
      <w:proofErr w:type="gramEnd"/>
      <w:r>
        <w:t xml:space="preserve"> que se garanta</w:t>
      </w:r>
      <w:r w:rsidRPr="00535EEC">
        <w:t xml:space="preserve"> </w:t>
      </w:r>
      <w:r>
        <w:t xml:space="preserve">o atendimento dos idosos por profissionais da Gerontologia, também no âmbito do </w:t>
      </w:r>
      <w:r w:rsidRPr="00535EEC">
        <w:t>Sistema Únic</w:t>
      </w:r>
      <w:r>
        <w:t xml:space="preserve">o de Assistência Social – SUAS, que é um sistema </w:t>
      </w:r>
      <w:r w:rsidRPr="00535EEC">
        <w:t>descentralizado e participativo, que tem por função a gestão do conteúdo específico da Assistência Social no campo da proteção social brasileira. O Sistema organiza as ações da assistência social em dois tipos de proteção social. A primeira é a Proteção Social Básica, destinada à prevenção de riscos sociais e pessoais, por meio da oferta de programas, projetos, serviços e benefícios a indivíduos e famílias em situação de vulnerabilidade social. A segunda é a Proteção Social Especial, destinada a famílias e indivíduos que já se encontram em situação de risco e que tiveram seus direitos violados por ocorrência de abandono, maus-tratos, abuso sexual, uso de drogas, entre outros aspectos.</w:t>
      </w:r>
    </w:p>
    <w:p w:rsidR="00703A44" w:rsidRDefault="00703A44" w:rsidP="00703A44">
      <w:pPr>
        <w:pStyle w:val="05-Pargrafodetexto-CLG"/>
      </w:pPr>
      <w:r>
        <w:lastRenderedPageBreak/>
        <w:t xml:space="preserve">Finalmente, apresento emendas com a finalidade de ajustar tecnicamente o projeto à Lei de Diretrizes e Bases – LDB e demais normativas do Ministério da Educação e Cultura – MEC, especialmente a de Portaria normativa /MEC nº 40, de 12 de dezembro de 2007, republicada em 29 de dezembro de 2010, vez que o profissional dessa área conclui a graduação com o grau de bacharelado. </w:t>
      </w:r>
    </w:p>
    <w:p w:rsidR="00703A44" w:rsidRPr="00433B79" w:rsidRDefault="00703A44" w:rsidP="00703A44">
      <w:pPr>
        <w:pStyle w:val="05-Pargrafodetexto-CLG"/>
      </w:pPr>
      <w:r>
        <w:t xml:space="preserve">Mais, não existe no Catálogo Nacional de Cursos Superiores de Tecnologia – CNCST, o curso de Tecnólogo em Gerontologia e Desenvolvimento Social, não havendo, pois, razão para que a lei regulamente uma atividade de um profissional que não existe atualmente no mercado de trabalho, razão pela qual deve ser suprimida do projeto essa referência. </w:t>
      </w:r>
    </w:p>
    <w:p w:rsidR="00703A44" w:rsidRDefault="00703A44" w:rsidP="00703A44">
      <w:pPr>
        <w:pStyle w:val="05-Subttulo-CLG"/>
      </w:pPr>
      <w:r>
        <w:t>III – VOTO</w:t>
      </w:r>
    </w:p>
    <w:p w:rsidR="00703A44" w:rsidRDefault="00703A44" w:rsidP="00703A44">
      <w:pPr>
        <w:pStyle w:val="06-Pargrafodetexto-CLG"/>
      </w:pPr>
      <w:r>
        <w:t xml:space="preserve">Em razão do exposto, o voto é pela aprovação do Projeto de Lei do Senado nº 334, de 2013, com as seguintes emendas: </w:t>
      </w:r>
    </w:p>
    <w:p w:rsidR="00703A44" w:rsidRPr="005C5FD7" w:rsidRDefault="00703A44" w:rsidP="00703A44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</w:t>
      </w:r>
      <w:r>
        <w:rPr>
          <w:b/>
        </w:rPr>
        <w:t>1</w:t>
      </w:r>
      <w:r w:rsidRPr="005C5FD7">
        <w:rPr>
          <w:b/>
        </w:rPr>
        <w:t xml:space="preserve"> - C</w:t>
      </w:r>
      <w:r>
        <w:rPr>
          <w:b/>
        </w:rPr>
        <w:t>DH</w:t>
      </w:r>
    </w:p>
    <w:p w:rsidR="00703A44" w:rsidRDefault="00703A44" w:rsidP="00703A44">
      <w:pPr>
        <w:pStyle w:val="06-Pargrafodetexto-CLG"/>
      </w:pPr>
      <w:r>
        <w:t xml:space="preserve">Acrescente-se ao Projeto de Lei do Senado nº 334, de 2013, o seguinte art. 5º, renumerando-se os demais: </w:t>
      </w:r>
    </w:p>
    <w:p w:rsidR="00703A44" w:rsidRDefault="00703A44" w:rsidP="00703A44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t xml:space="preserve">“Art. 5º Os atendimentos relativos à prevenção e </w:t>
      </w:r>
      <w:r>
        <w:rPr>
          <w:sz w:val="24"/>
          <w:szCs w:val="24"/>
        </w:rPr>
        <w:t>à</w:t>
      </w:r>
      <w:r w:rsidRPr="00DB5F69">
        <w:rPr>
          <w:sz w:val="24"/>
          <w:szCs w:val="24"/>
        </w:rPr>
        <w:t xml:space="preserve"> manutenção da saúde do idoso a serem realizados pelo Sistema Único de Saúde – SUS, deverão ser prestados por </w:t>
      </w:r>
      <w:proofErr w:type="spellStart"/>
      <w:r w:rsidRPr="00DB5F69">
        <w:rPr>
          <w:sz w:val="24"/>
          <w:szCs w:val="24"/>
        </w:rPr>
        <w:t>Gerontólogos</w:t>
      </w:r>
      <w:proofErr w:type="spellEnd"/>
      <w:r w:rsidRPr="00DB5F69">
        <w:rPr>
          <w:sz w:val="24"/>
          <w:szCs w:val="24"/>
        </w:rPr>
        <w:t xml:space="preserve">, em ambulatórios e unidades geriátricas de referência, com pessoal especializado nas áreas relativas à gerontologia </w:t>
      </w:r>
      <w:proofErr w:type="gramStart"/>
      <w:r w:rsidRPr="00DB5F69">
        <w:rPr>
          <w:sz w:val="24"/>
          <w:szCs w:val="24"/>
        </w:rPr>
        <w:t>social.”</w:t>
      </w:r>
      <w:proofErr w:type="gramEnd"/>
    </w:p>
    <w:p w:rsidR="00703A44" w:rsidRPr="005C5FD7" w:rsidRDefault="00703A44" w:rsidP="00703A44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</w:t>
      </w:r>
      <w:r w:rsidR="00807609">
        <w:rPr>
          <w:b/>
        </w:rPr>
        <w:t>2</w:t>
      </w:r>
      <w:r w:rsidRPr="005C5FD7">
        <w:rPr>
          <w:b/>
        </w:rPr>
        <w:t xml:space="preserve"> - C</w:t>
      </w:r>
      <w:r>
        <w:rPr>
          <w:b/>
        </w:rPr>
        <w:t>DH</w:t>
      </w:r>
    </w:p>
    <w:p w:rsidR="00703A44" w:rsidRDefault="00703A44" w:rsidP="00703A44">
      <w:pPr>
        <w:pStyle w:val="06-Pargrafodetexto-CLG"/>
      </w:pPr>
      <w:r>
        <w:t>Acrescente-se ao Projeto de Lei do Senado</w:t>
      </w:r>
      <w:r w:rsidRPr="00A5383A">
        <w:t xml:space="preserve"> </w:t>
      </w:r>
      <w:r>
        <w:t xml:space="preserve">nº 334, de 2013, o seguinte art. 6º, renumerando-se os demais: </w:t>
      </w:r>
    </w:p>
    <w:p w:rsidR="00703A44" w:rsidRDefault="00703A44" w:rsidP="00703A44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lastRenderedPageBreak/>
        <w:t xml:space="preserve">“Art. </w:t>
      </w:r>
      <w:r>
        <w:rPr>
          <w:sz w:val="24"/>
          <w:szCs w:val="24"/>
        </w:rPr>
        <w:t>6</w:t>
      </w:r>
      <w:r w:rsidRPr="00DB5F69">
        <w:rPr>
          <w:sz w:val="24"/>
          <w:szCs w:val="24"/>
        </w:rPr>
        <w:t xml:space="preserve">º Os atendimentos relativos à </w:t>
      </w:r>
      <w:r>
        <w:rPr>
          <w:sz w:val="24"/>
          <w:szCs w:val="24"/>
        </w:rPr>
        <w:t>proteção</w:t>
      </w:r>
      <w:r w:rsidRPr="00DB5F69">
        <w:rPr>
          <w:sz w:val="24"/>
          <w:szCs w:val="24"/>
        </w:rPr>
        <w:t xml:space="preserve"> do idoso </w:t>
      </w:r>
      <w:r>
        <w:rPr>
          <w:sz w:val="24"/>
          <w:szCs w:val="24"/>
        </w:rPr>
        <w:t>previstos no §1º do art. 6º da Lei nº 8742, de 7 de dezembro de 1993</w:t>
      </w:r>
      <w:r w:rsidRPr="00DB5F69">
        <w:rPr>
          <w:sz w:val="24"/>
          <w:szCs w:val="24"/>
        </w:rPr>
        <w:t xml:space="preserve">, deverão </w:t>
      </w:r>
      <w:r>
        <w:rPr>
          <w:sz w:val="24"/>
          <w:szCs w:val="24"/>
        </w:rPr>
        <w:t xml:space="preserve">ser prestados por </w:t>
      </w:r>
      <w:proofErr w:type="spellStart"/>
      <w:proofErr w:type="gramStart"/>
      <w:r>
        <w:rPr>
          <w:sz w:val="24"/>
          <w:szCs w:val="24"/>
        </w:rPr>
        <w:t>Gerontólogos</w:t>
      </w:r>
      <w:proofErr w:type="spellEnd"/>
      <w:r w:rsidRPr="00DB5F69">
        <w:rPr>
          <w:sz w:val="24"/>
          <w:szCs w:val="24"/>
        </w:rPr>
        <w:t>.”</w:t>
      </w:r>
      <w:proofErr w:type="gramEnd"/>
    </w:p>
    <w:p w:rsidR="00703A44" w:rsidRPr="005C5FD7" w:rsidRDefault="00703A44" w:rsidP="00703A44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</w:t>
      </w:r>
      <w:r w:rsidR="00807609">
        <w:rPr>
          <w:b/>
        </w:rPr>
        <w:t xml:space="preserve">3 </w:t>
      </w:r>
      <w:r w:rsidRPr="005C5FD7">
        <w:rPr>
          <w:b/>
        </w:rPr>
        <w:t>- C</w:t>
      </w:r>
      <w:r>
        <w:rPr>
          <w:b/>
        </w:rPr>
        <w:t>DH</w:t>
      </w:r>
    </w:p>
    <w:p w:rsidR="00703A44" w:rsidRDefault="00703A44" w:rsidP="00703A44">
      <w:pPr>
        <w:pStyle w:val="06-Pargrafodetexto-CLG"/>
      </w:pPr>
      <w:r>
        <w:t>O inciso I, do art. 2º do Projeto de Lei do Senado nº 334, de 2013, passa a vigorar com a seguinte redação:</w:t>
      </w:r>
    </w:p>
    <w:p w:rsidR="00703A44" w:rsidRDefault="00703A44" w:rsidP="00703A44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t>“</w:t>
      </w:r>
      <w:r w:rsidRPr="00EE165F">
        <w:rPr>
          <w:sz w:val="24"/>
          <w:szCs w:val="24"/>
        </w:rPr>
        <w:t xml:space="preserve">I – </w:t>
      </w:r>
      <w:r>
        <w:rPr>
          <w:sz w:val="24"/>
          <w:szCs w:val="24"/>
        </w:rPr>
        <w:t>d</w:t>
      </w:r>
      <w:r w:rsidRPr="00EE165F">
        <w:rPr>
          <w:sz w:val="24"/>
          <w:szCs w:val="24"/>
        </w:rPr>
        <w:t>os diplomados em cursos de graduação, bacharelado e superior de Tecnologia em Gerontologia ou congêneres, por estabelecimentos de ensino superior</w:t>
      </w:r>
      <w:r>
        <w:rPr>
          <w:sz w:val="24"/>
          <w:szCs w:val="24"/>
        </w:rPr>
        <w:t xml:space="preserve"> oficiais ou</w:t>
      </w:r>
      <w:r w:rsidRPr="00EE165F">
        <w:rPr>
          <w:sz w:val="24"/>
          <w:szCs w:val="24"/>
        </w:rPr>
        <w:t xml:space="preserve"> </w:t>
      </w:r>
      <w:proofErr w:type="gramStart"/>
      <w:r w:rsidRPr="00EE165F">
        <w:rPr>
          <w:sz w:val="24"/>
          <w:szCs w:val="24"/>
        </w:rPr>
        <w:t>reconhecidos;</w:t>
      </w:r>
      <w:r w:rsidRPr="00DB5F69">
        <w:rPr>
          <w:sz w:val="24"/>
          <w:szCs w:val="24"/>
        </w:rPr>
        <w:t>”</w:t>
      </w:r>
      <w:proofErr w:type="gramEnd"/>
    </w:p>
    <w:p w:rsidR="00703A44" w:rsidRPr="005C5FD7" w:rsidRDefault="00703A44" w:rsidP="00703A44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</w:t>
      </w:r>
      <w:r w:rsidR="00807609">
        <w:rPr>
          <w:b/>
        </w:rPr>
        <w:t>4</w:t>
      </w:r>
      <w:r w:rsidRPr="005C5FD7">
        <w:rPr>
          <w:b/>
        </w:rPr>
        <w:t xml:space="preserve"> - C</w:t>
      </w:r>
      <w:r>
        <w:rPr>
          <w:b/>
        </w:rPr>
        <w:t>DH</w:t>
      </w:r>
    </w:p>
    <w:p w:rsidR="00703A44" w:rsidRDefault="00703A44" w:rsidP="00703A44">
      <w:pPr>
        <w:pStyle w:val="06-Pargrafodetexto-CLG"/>
      </w:pPr>
      <w:r>
        <w:t>Suprima-se o inciso II, do art. 2º do Projeto de Lei do Senado nº 334, de 2013, renumerando-se o seguinte.</w:t>
      </w:r>
    </w:p>
    <w:p w:rsidR="00703A44" w:rsidRPr="005C5FD7" w:rsidRDefault="00703A44" w:rsidP="00703A44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</w:t>
      </w:r>
      <w:r w:rsidR="00807609">
        <w:rPr>
          <w:b/>
        </w:rPr>
        <w:t>5</w:t>
      </w:r>
      <w:r w:rsidRPr="005C5FD7">
        <w:rPr>
          <w:b/>
        </w:rPr>
        <w:t xml:space="preserve"> - C</w:t>
      </w:r>
      <w:r>
        <w:rPr>
          <w:b/>
        </w:rPr>
        <w:t>DH</w:t>
      </w:r>
    </w:p>
    <w:p w:rsidR="00703A44" w:rsidRDefault="00703A44" w:rsidP="00703A44">
      <w:pPr>
        <w:pStyle w:val="06-Pargrafodetexto-CLG"/>
      </w:pPr>
      <w:r>
        <w:t>Suprima-se o art. 4º do Projeto de Lei do Senado nº 334, de 2013, renumerando-se os demais.</w:t>
      </w:r>
    </w:p>
    <w:p w:rsidR="00703A44" w:rsidRDefault="00703A44" w:rsidP="00703A44">
      <w:pPr>
        <w:pStyle w:val="10-Local-CLG"/>
      </w:pPr>
      <w:r>
        <w:t>Sala da Comissão,</w:t>
      </w:r>
      <w:r w:rsidR="00807609">
        <w:t xml:space="preserve"> 9 de dezembro de 2015.</w:t>
      </w:r>
    </w:p>
    <w:p w:rsidR="00703A44" w:rsidRPr="00724990" w:rsidRDefault="00807609" w:rsidP="00807609">
      <w:pPr>
        <w:pStyle w:val="11-Assinaturas-CLG"/>
        <w:ind w:left="0"/>
        <w:jc w:val="right"/>
      </w:pPr>
      <w:r>
        <w:t>Senador Paulo Paim</w:t>
      </w:r>
      <w:r w:rsidR="00703A44">
        <w:t>, Presidente</w:t>
      </w:r>
    </w:p>
    <w:p w:rsidR="00703A44" w:rsidRDefault="00807609" w:rsidP="00807609">
      <w:pPr>
        <w:pStyle w:val="11-Assinaturas-CLG"/>
        <w:ind w:left="0"/>
        <w:jc w:val="right"/>
      </w:pPr>
      <w:bookmarkStart w:id="0" w:name="_GoBack"/>
      <w:bookmarkEnd w:id="0"/>
      <w:r>
        <w:t>Senador Omar Aziz</w:t>
      </w:r>
      <w:r w:rsidR="00703A44">
        <w:t>, Relator</w:t>
      </w:r>
    </w:p>
    <w:p w:rsidR="00E132D0" w:rsidRDefault="00807609"/>
    <w:sectPr w:rsidR="00E132D0" w:rsidSect="00FB1152">
      <w:headerReference w:type="even" r:id="rId4"/>
      <w:headerReference w:type="default" r:id="rId5"/>
      <w:footerReference w:type="first" r:id="rId6"/>
      <w:pgSz w:w="11906" w:h="16838"/>
      <w:pgMar w:top="3402" w:right="170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2A" w:rsidRPr="00342E7D" w:rsidRDefault="00807609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2A" w:rsidRDefault="00807609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6D2A" w:rsidRDefault="00807609">
    <w:pPr>
      <w:pStyle w:val="Cabealho"/>
      <w:ind w:right="360"/>
    </w:pPr>
  </w:p>
  <w:p w:rsidR="00BA6D2A" w:rsidRDefault="0080760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2A" w:rsidRDefault="00807609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BA6D2A" w:rsidRDefault="00807609">
    <w:pPr>
      <w:pStyle w:val="Cabealho"/>
      <w:ind w:right="360"/>
    </w:pPr>
  </w:p>
  <w:p w:rsidR="00BA6D2A" w:rsidRDefault="008076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A44"/>
    <w:rsid w:val="00703A44"/>
    <w:rsid w:val="00807609"/>
    <w:rsid w:val="00CE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F00E8-643B-4FE0-875D-EF8194B33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A4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703A4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703A4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703A4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703A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703A44"/>
  </w:style>
  <w:style w:type="paragraph" w:customStyle="1" w:styleId="02-TtuloPrincipal-CLG">
    <w:name w:val="02 - Título Principal - CLG"/>
    <w:link w:val="02-TtuloPrincipal-CLGChar"/>
    <w:rsid w:val="00703A44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703A44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703A44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703A44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703A44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703A44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link w:val="10-Local-CLGChar"/>
    <w:rsid w:val="00703A44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703A44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703A44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703A44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703A44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703A44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703A44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703A4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703A44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703A44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1161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Egídio Mendonça Costa</dc:creator>
  <cp:keywords/>
  <dc:description/>
  <cp:lastModifiedBy>Silvana Egídio Mendonça Costa</cp:lastModifiedBy>
  <cp:revision>2</cp:revision>
  <dcterms:created xsi:type="dcterms:W3CDTF">2015-12-10T13:36:00Z</dcterms:created>
  <dcterms:modified xsi:type="dcterms:W3CDTF">2015-12-10T13:38:00Z</dcterms:modified>
</cp:coreProperties>
</file>