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9A45C6">
        <w:t>43</w:t>
      </w:r>
      <w:r>
        <w:t>, DE 201</w:t>
      </w:r>
      <w:r w:rsidR="00A34D75">
        <w:t>7</w:t>
      </w:r>
    </w:p>
    <w:p w:rsidR="00B2587E" w:rsidRPr="00220B89" w:rsidRDefault="00B2587E" w:rsidP="00B2587E">
      <w:pPr>
        <w:pStyle w:val="02-TtuloPrincipal-CLG"/>
        <w:rPr>
          <w:b w:val="0"/>
          <w:bCs w:val="0"/>
          <w:sz w:val="24"/>
          <w:szCs w:val="24"/>
        </w:rPr>
      </w:pPr>
      <w:r w:rsidRPr="00220B89">
        <w:rPr>
          <w:b w:val="0"/>
          <w:bCs w:val="0"/>
          <w:sz w:val="24"/>
          <w:szCs w:val="24"/>
        </w:rPr>
        <w:t xml:space="preserve">(Proveniente da Medida Provisória nº </w:t>
      </w:r>
      <w:r w:rsidR="00EB1569" w:rsidRPr="00220B89">
        <w:rPr>
          <w:b w:val="0"/>
          <w:bCs w:val="0"/>
          <w:sz w:val="24"/>
          <w:szCs w:val="24"/>
        </w:rPr>
        <w:t>797</w:t>
      </w:r>
      <w:r w:rsidRPr="00220B89">
        <w:rPr>
          <w:b w:val="0"/>
          <w:bCs w:val="0"/>
          <w:sz w:val="24"/>
          <w:szCs w:val="24"/>
        </w:rPr>
        <w:t>, de 20</w:t>
      </w:r>
      <w:r w:rsidR="00EB1569" w:rsidRPr="00220B89">
        <w:rPr>
          <w:b w:val="0"/>
          <w:bCs w:val="0"/>
          <w:sz w:val="24"/>
          <w:szCs w:val="24"/>
        </w:rPr>
        <w:t>17</w:t>
      </w:r>
      <w:r w:rsidRPr="00220B89">
        <w:rPr>
          <w:b w:val="0"/>
          <w:bCs w:val="0"/>
          <w:sz w:val="24"/>
          <w:szCs w:val="24"/>
        </w:rPr>
        <w:t>)</w:t>
      </w:r>
    </w:p>
    <w:p w:rsidR="00EB1569" w:rsidRPr="00220B89" w:rsidRDefault="00EB1569" w:rsidP="00EB1569">
      <w:pPr>
        <w:pStyle w:val="EMENTA"/>
        <w:rPr>
          <w:rFonts w:ascii="Times New Roman" w:hAnsi="Times New Roman"/>
        </w:rPr>
      </w:pPr>
      <w:r w:rsidRPr="00220B89">
        <w:rPr>
          <w:rFonts w:ascii="Times New Roman" w:hAnsi="Times New Roman"/>
        </w:rPr>
        <w:t>Altera a Lei Complementar nº 26, de 11 de setembro de 1975, para dispor sobre a possibilidade de movimentação da conta do Programa de Integração Social - PIS e do Programa de Formação do Patrimônio do Servidor Público - PASEP.</w:t>
      </w:r>
    </w:p>
    <w:p w:rsidR="00EB1569" w:rsidRPr="00220B89" w:rsidRDefault="00EB1569" w:rsidP="00EB1569">
      <w:pPr>
        <w:pStyle w:val="NDOTRABALHOSISCONLE"/>
        <w:rPr>
          <w:rFonts w:ascii="Times New Roman" w:hAnsi="Times New Roman"/>
        </w:rPr>
      </w:pPr>
    </w:p>
    <w:p w:rsidR="00EB1569" w:rsidRPr="00220B89" w:rsidRDefault="00EB1569" w:rsidP="00EB1569">
      <w:pPr>
        <w:pStyle w:val="NDOTRABALHOSISCONLE"/>
        <w:rPr>
          <w:rFonts w:ascii="Times New Roman" w:hAnsi="Times New Roman"/>
        </w:rPr>
      </w:pPr>
    </w:p>
    <w:p w:rsidR="00EB1569" w:rsidRPr="00220B89" w:rsidRDefault="00EB1569" w:rsidP="00EB1569">
      <w:pPr>
        <w:pStyle w:val="NDOTRABALHOSISCONLE"/>
        <w:rPr>
          <w:rFonts w:ascii="Times New Roman" w:hAnsi="Times New Roman"/>
        </w:rPr>
      </w:pPr>
    </w:p>
    <w:p w:rsidR="00EB1569" w:rsidRPr="00220B89" w:rsidRDefault="00EB1569" w:rsidP="00EB1569">
      <w:pPr>
        <w:pStyle w:val="CORPOPADRO"/>
        <w:rPr>
          <w:rFonts w:ascii="Times New Roman" w:hAnsi="Times New Roman"/>
        </w:rPr>
      </w:pPr>
      <w:r w:rsidRPr="00220B89">
        <w:rPr>
          <w:rFonts w:ascii="Times New Roman" w:hAnsi="Times New Roman"/>
        </w:rPr>
        <w:t>O Congresso Nacional decreta:</w:t>
      </w:r>
    </w:p>
    <w:p w:rsidR="00EB1569" w:rsidRPr="00220B89" w:rsidRDefault="00EB1569" w:rsidP="00EB1569">
      <w:pPr>
        <w:pStyle w:val="CORPOPADRO"/>
        <w:rPr>
          <w:rFonts w:ascii="Times New Roman" w:hAnsi="Times New Roman"/>
        </w:rPr>
      </w:pPr>
      <w:r w:rsidRPr="00220B89">
        <w:rPr>
          <w:rFonts w:ascii="Times New Roman" w:hAnsi="Times New Roman"/>
        </w:rPr>
        <w:t>Art. 1</w:t>
      </w:r>
      <w:proofErr w:type="gramStart"/>
      <w:r w:rsidRPr="00220B89">
        <w:rPr>
          <w:rFonts w:ascii="Times New Roman" w:hAnsi="Times New Roman"/>
          <w:strike/>
        </w:rPr>
        <w:t>º</w:t>
      </w:r>
      <w:r w:rsidRPr="00220B89">
        <w:rPr>
          <w:rFonts w:ascii="Times New Roman" w:hAnsi="Times New Roman"/>
        </w:rPr>
        <w:t>  </w:t>
      </w:r>
      <w:r w:rsidRPr="00220B89">
        <w:rPr>
          <w:rFonts w:ascii="Times New Roman" w:hAnsi="Times New Roman"/>
          <w:color w:val="000000" w:themeColor="text1"/>
        </w:rPr>
        <w:t>A</w:t>
      </w:r>
      <w:proofErr w:type="gramEnd"/>
      <w:r w:rsidRPr="00220B89">
        <w:rPr>
          <w:rFonts w:ascii="Times New Roman" w:hAnsi="Times New Roman"/>
          <w:color w:val="000000" w:themeColor="text1"/>
        </w:rPr>
        <w:t> </w:t>
      </w:r>
      <w:r w:rsidRPr="00403ED7">
        <w:rPr>
          <w:rFonts w:ascii="Times New Roman" w:hAnsi="Times New Roman"/>
        </w:rPr>
        <w:t>Lei Complementar n</w:t>
      </w:r>
      <w:r w:rsidRPr="00403ED7">
        <w:rPr>
          <w:rFonts w:ascii="Times New Roman" w:hAnsi="Times New Roman"/>
          <w:strike/>
        </w:rPr>
        <w:t>º</w:t>
      </w:r>
      <w:r w:rsidRPr="00403ED7">
        <w:rPr>
          <w:rFonts w:ascii="Times New Roman" w:hAnsi="Times New Roman"/>
        </w:rPr>
        <w:t> 26, de 11 de setembro de 1975</w:t>
      </w:r>
      <w:r w:rsidRPr="00220B89">
        <w:rPr>
          <w:rFonts w:ascii="Times New Roman" w:hAnsi="Times New Roman"/>
          <w:color w:val="000000" w:themeColor="text1"/>
        </w:rPr>
        <w:t xml:space="preserve">, </w:t>
      </w:r>
      <w:r w:rsidRPr="00220B89">
        <w:rPr>
          <w:rFonts w:ascii="Times New Roman" w:hAnsi="Times New Roman"/>
        </w:rPr>
        <w:t>passa a vigorar com as seguintes alterações: </w:t>
      </w:r>
    </w:p>
    <w:p w:rsidR="00EB1569" w:rsidRPr="00220B89" w:rsidRDefault="00EB1569" w:rsidP="00EB1569">
      <w:pPr>
        <w:pStyle w:val="CORPOPADRO"/>
        <w:rPr>
          <w:rFonts w:ascii="Times New Roman" w:hAnsi="Times New Roman"/>
        </w:rPr>
      </w:pPr>
      <w:r w:rsidRPr="00220B89">
        <w:rPr>
          <w:rFonts w:ascii="Times New Roman" w:hAnsi="Times New Roman"/>
        </w:rPr>
        <w:t>“Art. 4</w:t>
      </w:r>
      <w:proofErr w:type="gramStart"/>
      <w:r w:rsidRPr="00220B89">
        <w:rPr>
          <w:rFonts w:ascii="Times New Roman" w:hAnsi="Times New Roman"/>
          <w:strike/>
        </w:rPr>
        <w:t>º</w:t>
      </w:r>
      <w:r w:rsidRPr="00220B89">
        <w:rPr>
          <w:rFonts w:ascii="Times New Roman" w:hAnsi="Times New Roman"/>
        </w:rPr>
        <w:t>  .....................................................................</w:t>
      </w:r>
      <w:proofErr w:type="gramEnd"/>
      <w:r w:rsidRPr="00220B89">
        <w:rPr>
          <w:rFonts w:ascii="Times New Roman" w:hAnsi="Times New Roman"/>
        </w:rPr>
        <w:t> </w:t>
      </w:r>
    </w:p>
    <w:p w:rsidR="00EB1569" w:rsidRPr="00220B89" w:rsidRDefault="00EB1569" w:rsidP="00EB1569">
      <w:pPr>
        <w:pStyle w:val="CORPOPADRO"/>
        <w:rPr>
          <w:rFonts w:ascii="Times New Roman" w:hAnsi="Times New Roman"/>
        </w:rPr>
      </w:pPr>
      <w:r w:rsidRPr="00403ED7">
        <w:rPr>
          <w:rFonts w:ascii="Times New Roman" w:hAnsi="Times New Roman"/>
        </w:rPr>
        <w:t>§</w:t>
      </w:r>
      <w:bookmarkStart w:id="0" w:name="_GoBack"/>
      <w:bookmarkEnd w:id="0"/>
      <w:r w:rsidRPr="00403ED7">
        <w:rPr>
          <w:rFonts w:ascii="Times New Roman" w:hAnsi="Times New Roman"/>
        </w:rPr>
        <w:t xml:space="preserve"> 1</w:t>
      </w:r>
      <w:proofErr w:type="gramStart"/>
      <w:r w:rsidRPr="00403ED7">
        <w:rPr>
          <w:rFonts w:ascii="Times New Roman" w:hAnsi="Times New Roman"/>
        </w:rPr>
        <w:t>º</w:t>
      </w:r>
      <w:r w:rsidRPr="00220B89">
        <w:rPr>
          <w:rFonts w:ascii="Times New Roman" w:hAnsi="Times New Roman"/>
        </w:rPr>
        <w:t>  Fica</w:t>
      </w:r>
      <w:proofErr w:type="gramEnd"/>
      <w:r w:rsidRPr="00220B89">
        <w:rPr>
          <w:rFonts w:ascii="Times New Roman" w:hAnsi="Times New Roman"/>
        </w:rPr>
        <w:t xml:space="preserve"> disponível ao titular da conta individual dos participantes do PIS-PASEP o saque do saldo nos seguintes casos:</w:t>
      </w:r>
    </w:p>
    <w:p w:rsidR="00EB1569" w:rsidRPr="00220B89" w:rsidRDefault="00EB1569" w:rsidP="00EB1569">
      <w:pPr>
        <w:pStyle w:val="CORPOPADRO"/>
        <w:rPr>
          <w:rFonts w:ascii="Times New Roman" w:hAnsi="Times New Roman"/>
        </w:rPr>
      </w:pPr>
      <w:r w:rsidRPr="00220B89">
        <w:rPr>
          <w:rFonts w:ascii="Times New Roman" w:hAnsi="Times New Roman"/>
        </w:rPr>
        <w:t xml:space="preserve">I - </w:t>
      </w:r>
      <w:proofErr w:type="gramStart"/>
      <w:r w:rsidRPr="00220B89">
        <w:rPr>
          <w:rFonts w:ascii="Times New Roman" w:hAnsi="Times New Roman"/>
        </w:rPr>
        <w:t>atingida</w:t>
      </w:r>
      <w:proofErr w:type="gramEnd"/>
      <w:r w:rsidRPr="00220B89">
        <w:rPr>
          <w:rFonts w:ascii="Times New Roman" w:hAnsi="Times New Roman"/>
        </w:rPr>
        <w:t xml:space="preserve"> a idade de sessenta e cinco anos, se homem;</w:t>
      </w:r>
    </w:p>
    <w:p w:rsidR="00EB1569" w:rsidRPr="00220B89" w:rsidRDefault="00EB1569" w:rsidP="00EB1569">
      <w:pPr>
        <w:pStyle w:val="CORPOPADRO"/>
        <w:rPr>
          <w:rFonts w:ascii="Times New Roman" w:hAnsi="Times New Roman"/>
        </w:rPr>
      </w:pPr>
      <w:r w:rsidRPr="00220B89">
        <w:rPr>
          <w:rFonts w:ascii="Times New Roman" w:hAnsi="Times New Roman"/>
        </w:rPr>
        <w:t xml:space="preserve">II - </w:t>
      </w:r>
      <w:proofErr w:type="gramStart"/>
      <w:r w:rsidRPr="00220B89">
        <w:rPr>
          <w:rFonts w:ascii="Times New Roman" w:hAnsi="Times New Roman"/>
        </w:rPr>
        <w:t>atingida</w:t>
      </w:r>
      <w:proofErr w:type="gramEnd"/>
      <w:r w:rsidRPr="00220B89">
        <w:rPr>
          <w:rFonts w:ascii="Times New Roman" w:hAnsi="Times New Roman"/>
        </w:rPr>
        <w:t xml:space="preserve"> a idade de sessenta, se mulher;</w:t>
      </w:r>
    </w:p>
    <w:p w:rsidR="00EB1569" w:rsidRPr="00220B89" w:rsidRDefault="00EB1569" w:rsidP="00EB1569">
      <w:pPr>
        <w:pStyle w:val="CORPOPADRO"/>
        <w:rPr>
          <w:rFonts w:ascii="Times New Roman" w:hAnsi="Times New Roman"/>
        </w:rPr>
      </w:pPr>
      <w:r w:rsidRPr="00220B89">
        <w:rPr>
          <w:rFonts w:ascii="Times New Roman" w:hAnsi="Times New Roman"/>
        </w:rPr>
        <w:t>III - aposentadoria;</w:t>
      </w:r>
    </w:p>
    <w:p w:rsidR="00EB1569" w:rsidRPr="00220B89" w:rsidRDefault="00EB1569" w:rsidP="00EB1569">
      <w:pPr>
        <w:pStyle w:val="CORPOPADRO"/>
        <w:rPr>
          <w:rFonts w:ascii="Times New Roman" w:hAnsi="Times New Roman"/>
        </w:rPr>
      </w:pPr>
      <w:r w:rsidRPr="00220B89">
        <w:rPr>
          <w:rFonts w:ascii="Times New Roman" w:hAnsi="Times New Roman"/>
        </w:rPr>
        <w:t xml:space="preserve">IV - </w:t>
      </w:r>
      <w:proofErr w:type="gramStart"/>
      <w:r w:rsidRPr="00220B89">
        <w:rPr>
          <w:rFonts w:ascii="Times New Roman" w:hAnsi="Times New Roman"/>
        </w:rPr>
        <w:t>transferência</w:t>
      </w:r>
      <w:proofErr w:type="gramEnd"/>
      <w:r w:rsidRPr="00220B89">
        <w:rPr>
          <w:rFonts w:ascii="Times New Roman" w:hAnsi="Times New Roman"/>
        </w:rPr>
        <w:t xml:space="preserve"> para a reserva remunerada ou reforma; ou</w:t>
      </w:r>
    </w:p>
    <w:p w:rsidR="00EB1569" w:rsidRPr="00220B89" w:rsidRDefault="00EB1569" w:rsidP="00EB1569">
      <w:pPr>
        <w:pStyle w:val="CORPOPADRO"/>
        <w:rPr>
          <w:rFonts w:ascii="Times New Roman" w:hAnsi="Times New Roman"/>
        </w:rPr>
      </w:pPr>
      <w:r w:rsidRPr="00220B89">
        <w:rPr>
          <w:rFonts w:ascii="Times New Roman" w:hAnsi="Times New Roman"/>
        </w:rPr>
        <w:t xml:space="preserve">V - </w:t>
      </w:r>
      <w:proofErr w:type="gramStart"/>
      <w:r w:rsidRPr="00220B89">
        <w:rPr>
          <w:rFonts w:ascii="Times New Roman" w:hAnsi="Times New Roman"/>
        </w:rPr>
        <w:t>invalidez</w:t>
      </w:r>
      <w:proofErr w:type="gramEnd"/>
      <w:r w:rsidRPr="00220B89">
        <w:rPr>
          <w:rFonts w:ascii="Times New Roman" w:hAnsi="Times New Roman"/>
        </w:rPr>
        <w:t>.</w:t>
      </w:r>
    </w:p>
    <w:p w:rsidR="00EB1569" w:rsidRPr="00220B89" w:rsidRDefault="00EB1569" w:rsidP="00EB1569">
      <w:pPr>
        <w:pStyle w:val="CORPOPADRO"/>
        <w:rPr>
          <w:rFonts w:ascii="Times New Roman" w:hAnsi="Times New Roman"/>
          <w:color w:val="000000" w:themeColor="text1"/>
        </w:rPr>
      </w:pPr>
      <w:r w:rsidRPr="00220B89">
        <w:rPr>
          <w:rFonts w:ascii="Times New Roman" w:hAnsi="Times New Roman"/>
        </w:rPr>
        <w:t>.......</w:t>
      </w:r>
      <w:r w:rsidRPr="00220B89">
        <w:rPr>
          <w:rFonts w:ascii="Times New Roman" w:hAnsi="Times New Roman"/>
          <w:color w:val="000000" w:themeColor="text1"/>
        </w:rPr>
        <w:t>......................................................................... </w:t>
      </w:r>
    </w:p>
    <w:p w:rsidR="00EB1569" w:rsidRPr="00220B89" w:rsidRDefault="00EB1569" w:rsidP="00EB1569">
      <w:pPr>
        <w:pStyle w:val="CORPOPADRO"/>
        <w:rPr>
          <w:rFonts w:ascii="Times New Roman" w:hAnsi="Times New Roman"/>
        </w:rPr>
      </w:pPr>
      <w:r w:rsidRPr="00403ED7">
        <w:rPr>
          <w:rFonts w:ascii="Times New Roman" w:hAnsi="Times New Roman"/>
        </w:rPr>
        <w:t>§ 4</w:t>
      </w:r>
      <w:proofErr w:type="gramStart"/>
      <w:r w:rsidRPr="00403ED7">
        <w:rPr>
          <w:rFonts w:ascii="Times New Roman" w:hAnsi="Times New Roman"/>
        </w:rPr>
        <w:t>º</w:t>
      </w:r>
      <w:r w:rsidRPr="00220B89">
        <w:rPr>
          <w:rFonts w:ascii="Times New Roman" w:hAnsi="Times New Roman"/>
        </w:rPr>
        <w:t>  Na</w:t>
      </w:r>
      <w:proofErr w:type="gramEnd"/>
      <w:r w:rsidRPr="00220B89">
        <w:rPr>
          <w:rFonts w:ascii="Times New Roman" w:hAnsi="Times New Roman"/>
        </w:rPr>
        <w:t xml:space="preserve"> hipótese de morte do titular da conta individual, o saldo da conta será disponibilizado a seus dependentes, de acordo com a legislação da Previdência Social e com a legislação específica relativa aos servidores civis e aos militares ou, na falta daqueles, aos sucessores do titular, nos termos da lei civil. </w:t>
      </w:r>
    </w:p>
    <w:p w:rsidR="00EB1569" w:rsidRPr="00220B89" w:rsidRDefault="00EB1569" w:rsidP="00EB1569">
      <w:pPr>
        <w:pStyle w:val="CORPOPADRO"/>
        <w:rPr>
          <w:rFonts w:ascii="Times New Roman" w:hAnsi="Times New Roman"/>
        </w:rPr>
      </w:pPr>
      <w:r w:rsidRPr="00220B89">
        <w:rPr>
          <w:rFonts w:ascii="Times New Roman" w:hAnsi="Times New Roman"/>
        </w:rPr>
        <w:lastRenderedPageBreak/>
        <w:t>§ 5</w:t>
      </w:r>
      <w:proofErr w:type="gramStart"/>
      <w:r w:rsidRPr="00220B89">
        <w:rPr>
          <w:rFonts w:ascii="Times New Roman" w:hAnsi="Times New Roman"/>
          <w:strike/>
        </w:rPr>
        <w:t>º</w:t>
      </w:r>
      <w:r w:rsidRPr="00220B89">
        <w:rPr>
          <w:rFonts w:ascii="Times New Roman" w:hAnsi="Times New Roman"/>
        </w:rPr>
        <w:t>  Independentemente</w:t>
      </w:r>
      <w:proofErr w:type="gramEnd"/>
      <w:r w:rsidRPr="00220B89">
        <w:rPr>
          <w:rFonts w:ascii="Times New Roman" w:hAnsi="Times New Roman"/>
        </w:rPr>
        <w:t xml:space="preserve"> de solicitação do cotista, a partir de outubro de 2017, os saldos das contas individuais dos participantes do PIS-PASEP ficam disponíveis aos participantes de que tratam os incisos I a IV do § 1</w:t>
      </w:r>
      <w:r w:rsidRPr="00220B89">
        <w:rPr>
          <w:rFonts w:ascii="Times New Roman" w:hAnsi="Times New Roman"/>
          <w:strike/>
        </w:rPr>
        <w:t>º</w:t>
      </w:r>
      <w:r w:rsidRPr="00220B89">
        <w:rPr>
          <w:rFonts w:ascii="Times New Roman" w:hAnsi="Times New Roman"/>
        </w:rPr>
        <w:t>. </w:t>
      </w:r>
    </w:p>
    <w:p w:rsidR="00EB1569" w:rsidRPr="00220B89" w:rsidRDefault="00EB1569" w:rsidP="00EB1569">
      <w:pPr>
        <w:pStyle w:val="CORPOPADRO"/>
        <w:rPr>
          <w:rFonts w:ascii="Times New Roman" w:hAnsi="Times New Roman"/>
        </w:rPr>
      </w:pPr>
      <w:r w:rsidRPr="00220B89">
        <w:rPr>
          <w:rFonts w:ascii="Times New Roman" w:hAnsi="Times New Roman"/>
        </w:rPr>
        <w:t>§ 6</w:t>
      </w:r>
      <w:proofErr w:type="gramStart"/>
      <w:r w:rsidRPr="00220B89">
        <w:rPr>
          <w:rFonts w:ascii="Times New Roman" w:hAnsi="Times New Roman"/>
          <w:strike/>
        </w:rPr>
        <w:t>º</w:t>
      </w:r>
      <w:r w:rsidRPr="00220B89">
        <w:rPr>
          <w:rFonts w:ascii="Times New Roman" w:hAnsi="Times New Roman"/>
        </w:rPr>
        <w:t>  Até</w:t>
      </w:r>
      <w:proofErr w:type="gramEnd"/>
      <w:r w:rsidRPr="00220B89">
        <w:rPr>
          <w:rFonts w:ascii="Times New Roman" w:hAnsi="Times New Roman"/>
        </w:rPr>
        <w:t xml:space="preserve"> março de 2018, a disponibilização dos saldos das contas individuais de que trata o § 5</w:t>
      </w:r>
      <w:r w:rsidRPr="00220B89">
        <w:rPr>
          <w:rFonts w:ascii="Times New Roman" w:hAnsi="Times New Roman"/>
          <w:strike/>
        </w:rPr>
        <w:t>º</w:t>
      </w:r>
      <w:r w:rsidRPr="00220B89">
        <w:rPr>
          <w:rFonts w:ascii="Times New Roman" w:hAnsi="Times New Roman"/>
        </w:rPr>
        <w:t> será efetuada segundo cronograma de atendimento, critério e forma estabelecidos pela Caixa Econômica Federal, quanto ao PIS, e pelo Banco do Brasil S.A., quanto ao PASEP.” (NR) </w:t>
      </w:r>
    </w:p>
    <w:p w:rsidR="00EB1569" w:rsidRPr="00220B89" w:rsidRDefault="00EB1569" w:rsidP="00EB1569">
      <w:pPr>
        <w:pStyle w:val="CORPOPADRO"/>
        <w:rPr>
          <w:rFonts w:ascii="Times New Roman" w:hAnsi="Times New Roman"/>
        </w:rPr>
      </w:pPr>
      <w:r w:rsidRPr="00403ED7">
        <w:rPr>
          <w:rFonts w:ascii="Times New Roman" w:hAnsi="Times New Roman"/>
        </w:rPr>
        <w:t>“Art. 4º-A</w:t>
      </w:r>
      <w:r w:rsidRPr="00220B89">
        <w:rPr>
          <w:rFonts w:ascii="Times New Roman" w:hAnsi="Times New Roman"/>
          <w:color w:val="000000" w:themeColor="text1"/>
        </w:rPr>
        <w:t>.</w:t>
      </w:r>
      <w:r w:rsidRPr="00220B89">
        <w:rPr>
          <w:rFonts w:ascii="Times New Roman" w:hAnsi="Times New Roman"/>
        </w:rPr>
        <w:t xml:space="preserve">  A Caixa Econômica Federal e o Banco do Brasil S.A. ficam autorizados a disponibilizar o saldo do participante do PIS-PASEP em folha de pagamento ou mediante crédito automático em conta de depósito, conta poupança ou outro arranjo de pagamento de titularidade do participante, quando este estiver enquadrado nas hipóteses normativas para saque e não houver sua prévia manifestação contrária. </w:t>
      </w:r>
    </w:p>
    <w:p w:rsidR="00EB1569" w:rsidRPr="00220B89" w:rsidRDefault="00EB1569" w:rsidP="00EB1569">
      <w:pPr>
        <w:pStyle w:val="CORPOPADRO"/>
        <w:rPr>
          <w:rFonts w:ascii="Times New Roman" w:hAnsi="Times New Roman"/>
        </w:rPr>
      </w:pPr>
      <w:r w:rsidRPr="00220B89">
        <w:rPr>
          <w:rFonts w:ascii="Times New Roman" w:hAnsi="Times New Roman"/>
        </w:rPr>
        <w:t>§ 1</w:t>
      </w:r>
      <w:proofErr w:type="gramStart"/>
      <w:r w:rsidRPr="00220B89">
        <w:rPr>
          <w:rFonts w:ascii="Times New Roman" w:hAnsi="Times New Roman"/>
          <w:strike/>
        </w:rPr>
        <w:t>º</w:t>
      </w:r>
      <w:r w:rsidRPr="00220B89">
        <w:rPr>
          <w:rFonts w:ascii="Times New Roman" w:hAnsi="Times New Roman"/>
        </w:rPr>
        <w:t>  Na</w:t>
      </w:r>
      <w:proofErr w:type="gramEnd"/>
      <w:r w:rsidRPr="00220B89">
        <w:rPr>
          <w:rFonts w:ascii="Times New Roman" w:hAnsi="Times New Roman"/>
        </w:rPr>
        <w:t xml:space="preserve"> hipótese do crédito automático de que trata o </w:t>
      </w:r>
      <w:r w:rsidRPr="00220B89">
        <w:rPr>
          <w:rFonts w:ascii="Times New Roman" w:hAnsi="Times New Roman"/>
          <w:b/>
          <w:bCs/>
        </w:rPr>
        <w:t>caput</w:t>
      </w:r>
      <w:r w:rsidRPr="00220B89">
        <w:rPr>
          <w:rFonts w:ascii="Times New Roman" w:hAnsi="Times New Roman"/>
        </w:rPr>
        <w:t>, o participante do PIS-PASEP poderá solicitar a transferência do valor para outra instituição financeira, em até três meses após o depósito, independentemente do pagamento de tarifa, conforme procedimento a ser definido pela Caixa Econômica Federal, quanto ao PIS, e pelo Banco do Brasil S. A., quanto ao PASEP. </w:t>
      </w:r>
    </w:p>
    <w:p w:rsidR="00EB1569" w:rsidRPr="00220B89" w:rsidRDefault="00EB1569" w:rsidP="00EB1569">
      <w:pPr>
        <w:pStyle w:val="CORPOPADRO"/>
        <w:rPr>
          <w:rFonts w:ascii="Times New Roman" w:hAnsi="Times New Roman"/>
        </w:rPr>
      </w:pPr>
      <w:r w:rsidRPr="00220B89">
        <w:rPr>
          <w:rFonts w:ascii="Times New Roman" w:hAnsi="Times New Roman"/>
        </w:rPr>
        <w:t>§ 2</w:t>
      </w:r>
      <w:proofErr w:type="gramStart"/>
      <w:r w:rsidRPr="00220B89">
        <w:rPr>
          <w:rFonts w:ascii="Times New Roman" w:hAnsi="Times New Roman"/>
          <w:strike/>
        </w:rPr>
        <w:t>º</w:t>
      </w:r>
      <w:r w:rsidRPr="00220B89">
        <w:rPr>
          <w:rFonts w:ascii="Times New Roman" w:hAnsi="Times New Roman"/>
        </w:rPr>
        <w:t>  O</w:t>
      </w:r>
      <w:proofErr w:type="gramEnd"/>
      <w:r w:rsidRPr="00220B89">
        <w:rPr>
          <w:rFonts w:ascii="Times New Roman" w:hAnsi="Times New Roman"/>
        </w:rPr>
        <w:t xml:space="preserve"> valor a ser disponibilizado nos termos deste artigo poderá ser emitido em unidades inteiras de moeda corrente, com a suplementação das partes decimais até a unidade inteira imediatamente superior.” (NR) </w:t>
      </w:r>
    </w:p>
    <w:p w:rsidR="00EB1569" w:rsidRPr="00220B89" w:rsidRDefault="00EB1569" w:rsidP="00EB1569">
      <w:pPr>
        <w:pStyle w:val="CORPOPADRO"/>
        <w:rPr>
          <w:rFonts w:ascii="Times New Roman" w:hAnsi="Times New Roman"/>
        </w:rPr>
      </w:pPr>
      <w:bookmarkStart w:id="1" w:name="art2"/>
      <w:bookmarkEnd w:id="1"/>
      <w:r w:rsidRPr="00220B89">
        <w:rPr>
          <w:rFonts w:ascii="Times New Roman" w:hAnsi="Times New Roman"/>
        </w:rPr>
        <w:t>Art. 2</w:t>
      </w:r>
      <w:proofErr w:type="gramStart"/>
      <w:r w:rsidRPr="00220B89">
        <w:rPr>
          <w:rFonts w:ascii="Times New Roman" w:hAnsi="Times New Roman"/>
          <w:strike/>
        </w:rPr>
        <w:t>º</w:t>
      </w:r>
      <w:r w:rsidRPr="00220B89">
        <w:rPr>
          <w:rFonts w:ascii="Times New Roman" w:hAnsi="Times New Roman"/>
        </w:rPr>
        <w:t>  Fica</w:t>
      </w:r>
      <w:proofErr w:type="gramEnd"/>
      <w:r w:rsidRPr="00220B89">
        <w:rPr>
          <w:rFonts w:ascii="Times New Roman" w:hAnsi="Times New Roman"/>
        </w:rPr>
        <w:t xml:space="preserve"> revogado </w:t>
      </w:r>
      <w:r w:rsidRPr="00220B89">
        <w:rPr>
          <w:rFonts w:ascii="Times New Roman" w:hAnsi="Times New Roman"/>
          <w:color w:val="000000" w:themeColor="text1"/>
        </w:rPr>
        <w:t>o </w:t>
      </w:r>
      <w:r w:rsidRPr="00403ED7">
        <w:rPr>
          <w:rFonts w:ascii="Times New Roman" w:hAnsi="Times New Roman"/>
        </w:rPr>
        <w:t>parágrafo único do art. 2º da Lei Complementar nº 26, de 11 de setembro de 1975</w:t>
      </w:r>
      <w:r w:rsidRPr="00220B89">
        <w:rPr>
          <w:rFonts w:ascii="Times New Roman" w:hAnsi="Times New Roman"/>
          <w:color w:val="000000" w:themeColor="text1"/>
        </w:rPr>
        <w:t>. </w:t>
      </w:r>
    </w:p>
    <w:p w:rsidR="00EB1569" w:rsidRPr="00220B89" w:rsidRDefault="00EB1569" w:rsidP="00EB1569">
      <w:pPr>
        <w:pStyle w:val="CORPOPADRO"/>
        <w:rPr>
          <w:rFonts w:ascii="Times New Roman" w:hAnsi="Times New Roman"/>
        </w:rPr>
      </w:pPr>
      <w:bookmarkStart w:id="2" w:name="art3"/>
      <w:bookmarkEnd w:id="2"/>
      <w:r w:rsidRPr="00220B89">
        <w:rPr>
          <w:rFonts w:ascii="Times New Roman" w:hAnsi="Times New Roman"/>
        </w:rPr>
        <w:t>Art. 3</w:t>
      </w:r>
      <w:proofErr w:type="gramStart"/>
      <w:r w:rsidRPr="00220B89">
        <w:rPr>
          <w:rFonts w:ascii="Times New Roman" w:hAnsi="Times New Roman"/>
          <w:strike/>
        </w:rPr>
        <w:t>º</w:t>
      </w:r>
      <w:r w:rsidRPr="00220B89">
        <w:rPr>
          <w:rFonts w:ascii="Times New Roman" w:hAnsi="Times New Roman"/>
        </w:rPr>
        <w:t>  Esta</w:t>
      </w:r>
      <w:proofErr w:type="gramEnd"/>
      <w:r w:rsidRPr="00220B89">
        <w:rPr>
          <w:rFonts w:ascii="Times New Roman" w:hAnsi="Times New Roman"/>
        </w:rPr>
        <w:t xml:space="preserve"> Lei entra em vigor na data de sua publicação. </w:t>
      </w:r>
    </w:p>
    <w:p w:rsidR="00EB1569" w:rsidRPr="00220B89" w:rsidRDefault="00EB1569" w:rsidP="00EB1569">
      <w:pPr>
        <w:pStyle w:val="NDOTRABALHOSISCONLE"/>
        <w:rPr>
          <w:rFonts w:ascii="Times New Roman" w:hAnsi="Times New Roman"/>
        </w:rPr>
      </w:pPr>
    </w:p>
    <w:p w:rsidR="00EB1569" w:rsidRPr="00220B89" w:rsidRDefault="00EB1569" w:rsidP="00EB1569">
      <w:pPr>
        <w:pStyle w:val="CORPOPADRO"/>
        <w:rPr>
          <w:rFonts w:ascii="Times New Roman" w:hAnsi="Times New Roman"/>
        </w:rPr>
      </w:pPr>
      <w:r w:rsidRPr="00220B89">
        <w:rPr>
          <w:rFonts w:ascii="Times New Roman" w:hAnsi="Times New Roman"/>
        </w:rPr>
        <w:t>Sala da Comissão</w:t>
      </w:r>
      <w:r w:rsidR="0052223E">
        <w:rPr>
          <w:rFonts w:ascii="Times New Roman" w:hAnsi="Times New Roman"/>
        </w:rPr>
        <w:t>, em</w:t>
      </w:r>
      <w:r w:rsidRPr="00220B89">
        <w:rPr>
          <w:rFonts w:ascii="Times New Roman" w:hAnsi="Times New Roman"/>
        </w:rPr>
        <w:t xml:space="preserve"> 21 de novembro de 2017.</w:t>
      </w:r>
    </w:p>
    <w:p w:rsidR="00220B89" w:rsidRDefault="00220B89" w:rsidP="00EB1569">
      <w:pPr>
        <w:pStyle w:val="ASSINATURA"/>
        <w:rPr>
          <w:rFonts w:ascii="Times New Roman" w:hAnsi="Times New Roman"/>
        </w:rPr>
      </w:pPr>
    </w:p>
    <w:p w:rsidR="00277EC4" w:rsidRDefault="00277EC4" w:rsidP="00EB1569">
      <w:pPr>
        <w:pStyle w:val="ASSINATURA"/>
        <w:rPr>
          <w:rFonts w:ascii="Times New Roman" w:hAnsi="Times New Roman"/>
        </w:rPr>
      </w:pPr>
    </w:p>
    <w:p w:rsidR="00915082" w:rsidRPr="00915082" w:rsidRDefault="00915082" w:rsidP="00915082">
      <w:pPr>
        <w:pStyle w:val="NDOTRABALHOSISCONLE"/>
      </w:pPr>
    </w:p>
    <w:p w:rsidR="00EB1569" w:rsidRPr="00220B89" w:rsidRDefault="00EB1569" w:rsidP="00EB1569">
      <w:pPr>
        <w:pStyle w:val="ASSINATURA"/>
        <w:rPr>
          <w:rFonts w:ascii="Times New Roman" w:hAnsi="Times New Roman"/>
        </w:rPr>
      </w:pPr>
      <w:r w:rsidRPr="00220B89">
        <w:rPr>
          <w:rFonts w:ascii="Times New Roman" w:hAnsi="Times New Roman"/>
        </w:rPr>
        <w:t>Senador Davi Alcolumbre</w:t>
      </w:r>
    </w:p>
    <w:p w:rsidR="00C50CCE" w:rsidRPr="00220B89" w:rsidRDefault="00EB1569" w:rsidP="002D1F86">
      <w:pPr>
        <w:pStyle w:val="ASSINATURA"/>
        <w:rPr>
          <w:rFonts w:ascii="Times New Roman" w:hAnsi="Times New Roman"/>
        </w:rPr>
      </w:pPr>
      <w:r w:rsidRPr="00220B89">
        <w:rPr>
          <w:rFonts w:ascii="Times New Roman" w:hAnsi="Times New Roman"/>
        </w:rPr>
        <w:t xml:space="preserve">Presidente </w:t>
      </w:r>
      <w:r w:rsidR="00915082">
        <w:rPr>
          <w:rFonts w:ascii="Times New Roman" w:hAnsi="Times New Roman"/>
        </w:rPr>
        <w:t>da Comissão Mista</w:t>
      </w:r>
    </w:p>
    <w:sectPr w:rsidR="00C50CCE" w:rsidRPr="00220B89"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A53A7E">
        <w:pPr>
          <w:pStyle w:val="Rodap"/>
          <w:jc w:val="right"/>
        </w:pPr>
        <w:r>
          <w:fldChar w:fldCharType="begin"/>
        </w:r>
        <w:r w:rsidR="006F333D">
          <w:instrText>PAGE   \* MERGEFORMAT</w:instrText>
        </w:r>
        <w:r>
          <w:fldChar w:fldCharType="separate"/>
        </w:r>
        <w:r w:rsidR="00403ED7">
          <w:rPr>
            <w:noProof/>
          </w:rPr>
          <w:t>2</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587E"/>
    <w:rsid w:val="0000021F"/>
    <w:rsid w:val="001C4376"/>
    <w:rsid w:val="00220B89"/>
    <w:rsid w:val="00277EC4"/>
    <w:rsid w:val="002D1F86"/>
    <w:rsid w:val="00403ED7"/>
    <w:rsid w:val="00433CA4"/>
    <w:rsid w:val="0052223E"/>
    <w:rsid w:val="006F333D"/>
    <w:rsid w:val="0076160F"/>
    <w:rsid w:val="00915082"/>
    <w:rsid w:val="009A45C6"/>
    <w:rsid w:val="00A34D75"/>
    <w:rsid w:val="00A53A7E"/>
    <w:rsid w:val="00B2587E"/>
    <w:rsid w:val="00C01B98"/>
    <w:rsid w:val="00EB15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870F5B-C8DC-4BD5-AD65-20C5E22B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ASSINATURA">
    <w:name w:val="ASSINATURA"/>
    <w:basedOn w:val="Normal"/>
    <w:next w:val="NDOTRABALHOSISCONLE"/>
    <w:qFormat/>
    <w:rsid w:val="00EB1569"/>
    <w:pPr>
      <w:spacing w:after="120"/>
      <w:jc w:val="center"/>
    </w:pPr>
    <w:rPr>
      <w:rFonts w:ascii="Arial" w:hAnsi="Arial"/>
      <w:szCs w:val="20"/>
    </w:rPr>
  </w:style>
  <w:style w:type="paragraph" w:customStyle="1" w:styleId="CORPOPADRO">
    <w:name w:val="CORPO PADRÃO"/>
    <w:basedOn w:val="Normal"/>
    <w:qFormat/>
    <w:rsid w:val="00EB1569"/>
    <w:pPr>
      <w:spacing w:after="120" w:line="360" w:lineRule="auto"/>
      <w:ind w:firstLine="1701"/>
      <w:jc w:val="both"/>
    </w:pPr>
    <w:rPr>
      <w:rFonts w:ascii="Arial" w:hAnsi="Arial"/>
      <w:snapToGrid w:val="0"/>
      <w:color w:val="000000"/>
      <w:szCs w:val="20"/>
    </w:rPr>
  </w:style>
  <w:style w:type="paragraph" w:customStyle="1" w:styleId="EMENTA">
    <w:name w:val="EMENTA"/>
    <w:basedOn w:val="Normal"/>
    <w:next w:val="Normal"/>
    <w:qFormat/>
    <w:rsid w:val="00EB1569"/>
    <w:pPr>
      <w:widowControl w:val="0"/>
      <w:spacing w:before="720" w:after="480"/>
      <w:ind w:left="3686" w:firstLine="567"/>
      <w:jc w:val="both"/>
    </w:pPr>
    <w:rPr>
      <w:rFonts w:ascii="Arial" w:hAnsi="Arial"/>
      <w:snapToGrid w:val="0"/>
      <w:color w:val="000000"/>
      <w:szCs w:val="20"/>
    </w:rPr>
  </w:style>
  <w:style w:type="paragraph" w:customStyle="1" w:styleId="NDOTRABALHOSISCONLE">
    <w:name w:val="Nº DO TRABALHO SISCONLE"/>
    <w:basedOn w:val="Normal"/>
    <w:qFormat/>
    <w:rsid w:val="00EB1569"/>
    <w:pPr>
      <w:widowControl w:val="0"/>
      <w:spacing w:after="120"/>
      <w:jc w:val="both"/>
    </w:pPr>
    <w:rPr>
      <w:rFonts w:ascii="Arial" w:hAnsi="Arial"/>
      <w:snapToGrid w:val="0"/>
      <w:color w:val="000000"/>
      <w:sz w:val="16"/>
      <w:szCs w:val="20"/>
    </w:rPr>
  </w:style>
  <w:style w:type="character" w:styleId="Hyperlink">
    <w:name w:val="Hyperlink"/>
    <w:basedOn w:val="Fontepargpadro"/>
    <w:uiPriority w:val="99"/>
    <w:semiHidden/>
    <w:unhideWhenUsed/>
    <w:rsid w:val="00EB1569"/>
    <w:rPr>
      <w:color w:val="0000FF"/>
      <w:u w:val="single"/>
    </w:rPr>
  </w:style>
  <w:style w:type="paragraph" w:styleId="Textodebalo">
    <w:name w:val="Balloon Text"/>
    <w:basedOn w:val="Normal"/>
    <w:link w:val="TextodebaloChar"/>
    <w:uiPriority w:val="99"/>
    <w:semiHidden/>
    <w:unhideWhenUsed/>
    <w:rsid w:val="00403ED7"/>
    <w:rPr>
      <w:rFonts w:ascii="Segoe UI" w:hAnsi="Segoe UI" w:cs="Segoe UI"/>
      <w:sz w:val="18"/>
      <w:szCs w:val="18"/>
    </w:rPr>
  </w:style>
  <w:style w:type="character" w:customStyle="1" w:styleId="TextodebaloChar">
    <w:name w:val="Texto de balão Char"/>
    <w:basedOn w:val="Fontepargpadro"/>
    <w:link w:val="Textodebalo"/>
    <w:uiPriority w:val="99"/>
    <w:semiHidden/>
    <w:rsid w:val="00403ED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472</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17</cp:revision>
  <cp:lastPrinted>2017-11-21T18:19:00Z</cp:lastPrinted>
  <dcterms:created xsi:type="dcterms:W3CDTF">2016-06-07T18:12:00Z</dcterms:created>
  <dcterms:modified xsi:type="dcterms:W3CDTF">2017-11-21T18:19:00Z</dcterms:modified>
</cp:coreProperties>
</file>