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36A" w:rsidRPr="00E0153A" w:rsidRDefault="0033036A" w:rsidP="0033036A">
      <w:pPr>
        <w:pStyle w:val="02-TtuloPrincipal-CLG"/>
        <w:jc w:val="both"/>
      </w:pPr>
      <w:r>
        <w:t>Errata à Complementação de Voto Contendo a Consolidação das Alterações Promovidas na Reunião de 25 de Agosto de 2015</w:t>
      </w:r>
    </w:p>
    <w:p w:rsidR="0033036A" w:rsidRDefault="0033036A" w:rsidP="0033036A">
      <w:pPr>
        <w:pStyle w:val="03-Ementa-CLG"/>
      </w:pPr>
      <w:r>
        <w:t xml:space="preserve">Perante a COMISSÃO MISTA, sobre a Medida Provisória nº 675, de 21 de maio de 2015, que </w:t>
      </w:r>
      <w:r w:rsidRPr="00E3497F">
        <w:rPr>
          <w:i/>
        </w:rPr>
        <w:t>altera a Lei nº 7.689, de 15 de dezembro de 1988, para elevar a alíquota da Contribuição Social sobre o Lucro Líquido - CSLL em relação às pessoas jurídicas de seguros privados e de capitalização e às referidas nos incisos I a VII, IX e X do § 1º do art. 1º da Lei Complementar nº 105, de 10 de janeiro de 2001</w:t>
      </w:r>
      <w:r w:rsidRPr="00D47731">
        <w:t>.</w:t>
      </w:r>
    </w:p>
    <w:p w:rsidR="0033036A" w:rsidRPr="00E0153A" w:rsidRDefault="0033036A" w:rsidP="0033036A">
      <w:pPr>
        <w:pStyle w:val="04-Relatoria-CLG"/>
        <w:spacing w:after="840"/>
        <w:rPr>
          <w:b/>
        </w:rPr>
      </w:pPr>
      <w:r w:rsidRPr="00E0153A">
        <w:t>RELATOR: Senador</w:t>
      </w:r>
      <w:r>
        <w:t xml:space="preserve">a </w:t>
      </w:r>
      <w:r w:rsidRPr="00375888">
        <w:rPr>
          <w:b/>
        </w:rPr>
        <w:t>GLEISI HOFFMANN</w:t>
      </w:r>
    </w:p>
    <w:p w:rsidR="0033036A" w:rsidRDefault="0033036A" w:rsidP="0033036A">
      <w:pPr>
        <w:pStyle w:val="04-PargrafodetextoEstudoNotas-CLG"/>
        <w:spacing w:after="240" w:line="240" w:lineRule="auto"/>
      </w:pPr>
      <w:r w:rsidRPr="00E0153A">
        <w:t xml:space="preserve">Em </w:t>
      </w:r>
      <w:r>
        <w:t xml:space="preserve">25 de </w:t>
      </w:r>
      <w:r w:rsidRPr="00E0153A">
        <w:t>a</w:t>
      </w:r>
      <w:r>
        <w:t>gosto</w:t>
      </w:r>
      <w:r w:rsidRPr="00E0153A">
        <w:t xml:space="preserve"> de 201</w:t>
      </w:r>
      <w:r>
        <w:t>5</w:t>
      </w:r>
      <w:r w:rsidRPr="00E0153A">
        <w:t xml:space="preserve">, </w:t>
      </w:r>
      <w:r>
        <w:t>durante o processo de discussão do relatório apresentado à Medida Provisória nº 675, de 2015, foi consolidado, a partir dos entendimentos mantidos com os membros da Comissão Mista, o Projeto de Lei de Conversão apresentado por esta Relatora.</w:t>
      </w:r>
    </w:p>
    <w:p w:rsidR="0033036A" w:rsidRDefault="0033036A" w:rsidP="0033036A">
      <w:pPr>
        <w:pStyle w:val="04-PargrafodetextoEstudoNotas-CLG"/>
        <w:spacing w:after="240" w:line="240" w:lineRule="auto"/>
      </w:pPr>
      <w:r>
        <w:t>De ontem para hoje, novamente a partir de amplo debate entre os parlamentares membros da Comissão Mista, foi construído um consenso em torno de uma nova redação a ser dada ao art. 1º do Projeto de Lei de Conversão que trata exatamente da majoração da alíquota da Contribuição Social sobre o Lucro Líquido – CSLL, para estabelecer um prazo determinado para sua vigência.</w:t>
      </w:r>
    </w:p>
    <w:p w:rsidR="0033036A" w:rsidRDefault="0033036A" w:rsidP="0033036A">
      <w:pPr>
        <w:pStyle w:val="04-PargrafodetextoEstudoNotas-CLG"/>
        <w:spacing w:after="240" w:line="240" w:lineRule="auto"/>
      </w:pPr>
      <w:r>
        <w:t xml:space="preserve">Neste sentido apresentamos a presente errata </w:t>
      </w:r>
      <w:r w:rsidR="007D7178">
        <w:t>conte</w:t>
      </w:r>
      <w:r>
        <w:t>ndo a alteração proposta e a versão consolidada do Projeto de Lei de Conversão que sub</w:t>
      </w:r>
      <w:r w:rsidR="008A2683">
        <w:t>me</w:t>
      </w:r>
      <w:r>
        <w:t>temos a votação desta Comissão Mista.</w:t>
      </w:r>
    </w:p>
    <w:p w:rsidR="0033036A" w:rsidRPr="00E0153A" w:rsidRDefault="0033036A" w:rsidP="0033036A">
      <w:pPr>
        <w:pStyle w:val="05-Pargrafodetexto-CLG"/>
        <w:spacing w:after="240"/>
        <w:ind w:firstLine="0"/>
        <w:rPr>
          <w:b/>
        </w:rPr>
      </w:pPr>
      <w:r w:rsidRPr="00E0153A">
        <w:rPr>
          <w:b/>
        </w:rPr>
        <w:t>ALTERAÇ</w:t>
      </w:r>
      <w:r>
        <w:rPr>
          <w:b/>
        </w:rPr>
        <w:t>ÃO</w:t>
      </w:r>
      <w:r w:rsidRPr="00E0153A">
        <w:rPr>
          <w:b/>
        </w:rPr>
        <w:t xml:space="preserve"> NO CORPO DO </w:t>
      </w:r>
      <w:r>
        <w:rPr>
          <w:b/>
        </w:rPr>
        <w:t>COMPLEMENTO DE VOTO APRESENTADO EM 25/08/15</w:t>
      </w:r>
    </w:p>
    <w:p w:rsidR="0033036A" w:rsidRPr="00E0153A" w:rsidRDefault="0033036A" w:rsidP="0033036A">
      <w:pPr>
        <w:pStyle w:val="05-Pargrafodetexto-CLG"/>
        <w:spacing w:after="240"/>
      </w:pPr>
    </w:p>
    <w:p w:rsidR="0033036A" w:rsidRPr="00E0153A" w:rsidRDefault="0033036A" w:rsidP="0033036A">
      <w:pPr>
        <w:pStyle w:val="05-Pargrafodetexto-CLG"/>
        <w:spacing w:after="240"/>
      </w:pPr>
      <w:r w:rsidRPr="00E0153A">
        <w:rPr>
          <w:b/>
        </w:rPr>
        <w:lastRenderedPageBreak/>
        <w:t xml:space="preserve">No VOTO, </w:t>
      </w:r>
      <w:r w:rsidRPr="00E0153A">
        <w:t>inclua</w:t>
      </w:r>
      <w:r w:rsidR="007D7178">
        <w:t>m</w:t>
      </w:r>
      <w:r w:rsidRPr="00E0153A">
        <w:t xml:space="preserve">-se entre as </w:t>
      </w:r>
      <w:r>
        <w:t xml:space="preserve">emendas parcialmente </w:t>
      </w:r>
      <w:r w:rsidRPr="00E0153A">
        <w:t>aprovadas</w:t>
      </w:r>
      <w:r>
        <w:t xml:space="preserve"> </w:t>
      </w:r>
      <w:r w:rsidRPr="00E0153A">
        <w:t>a</w:t>
      </w:r>
      <w:r>
        <w:t xml:space="preserve"> </w:t>
      </w:r>
      <w:r w:rsidRPr="00E0153A">
        <w:t>Emenda nº</w:t>
      </w:r>
      <w:r w:rsidR="000C085C">
        <w:t xml:space="preserve"> 160 e exclua</w:t>
      </w:r>
      <w:r w:rsidR="007D7178">
        <w:t>m</w:t>
      </w:r>
      <w:r w:rsidR="000C085C">
        <w:t xml:space="preserve">-se das emendas parcialmente aprovadas as Emendas </w:t>
      </w:r>
      <w:proofErr w:type="spellStart"/>
      <w:r w:rsidR="00634C1F">
        <w:t>nº</w:t>
      </w:r>
      <w:r w:rsidR="007D7178">
        <w:t>s</w:t>
      </w:r>
      <w:proofErr w:type="spellEnd"/>
      <w:r w:rsidR="00634C1F">
        <w:t xml:space="preserve"> 12, 16, 17, 19, 34, 64, 65, 73, 130, 144, 158 e 177.</w:t>
      </w:r>
    </w:p>
    <w:p w:rsidR="00797864" w:rsidRDefault="00797864" w:rsidP="0033036A">
      <w:pPr>
        <w:pStyle w:val="05-Pargrafodetexto-CLG"/>
        <w:spacing w:after="240"/>
        <w:ind w:firstLine="0"/>
        <w:rPr>
          <w:b/>
        </w:rPr>
      </w:pPr>
    </w:p>
    <w:p w:rsidR="0033036A" w:rsidRPr="00E0153A" w:rsidRDefault="0033036A" w:rsidP="0033036A">
      <w:pPr>
        <w:pStyle w:val="05-Pargrafodetexto-CLG"/>
        <w:spacing w:after="240"/>
        <w:ind w:firstLine="0"/>
        <w:rPr>
          <w:b/>
        </w:rPr>
      </w:pPr>
      <w:r w:rsidRPr="00E0153A">
        <w:rPr>
          <w:b/>
        </w:rPr>
        <w:t>ALTERAÇ</w:t>
      </w:r>
      <w:r>
        <w:rPr>
          <w:b/>
        </w:rPr>
        <w:t>ÃO</w:t>
      </w:r>
      <w:r w:rsidRPr="00E0153A">
        <w:rPr>
          <w:b/>
        </w:rPr>
        <w:t xml:space="preserve"> NA REDAÇÃO DE DISPOSITIVO</w:t>
      </w:r>
      <w:r>
        <w:rPr>
          <w:b/>
        </w:rPr>
        <w:t xml:space="preserve"> DO PLV</w:t>
      </w:r>
    </w:p>
    <w:p w:rsidR="0033036A" w:rsidRPr="00E0153A" w:rsidRDefault="0033036A" w:rsidP="0033036A">
      <w:pPr>
        <w:pStyle w:val="05-Pargrafodetexto-CLG"/>
        <w:spacing w:after="240"/>
        <w:rPr>
          <w:b/>
        </w:rPr>
      </w:pPr>
      <w:r w:rsidRPr="00E0153A">
        <w:rPr>
          <w:b/>
          <w:u w:val="single"/>
        </w:rPr>
        <w:t>Art. 1º</w:t>
      </w:r>
      <w:r w:rsidRPr="00E0153A">
        <w:rPr>
          <w:b/>
        </w:rPr>
        <w:t xml:space="preserve"> :</w:t>
      </w:r>
    </w:p>
    <w:p w:rsidR="0033036A" w:rsidRDefault="0033036A" w:rsidP="0033036A">
      <w:pPr>
        <w:pStyle w:val="05-Pargrafodetexto-CLG"/>
        <w:spacing w:after="240"/>
      </w:pPr>
      <w:r w:rsidRPr="00E0153A">
        <w:t>Substituir o</w:t>
      </w:r>
      <w:r>
        <w:t>s</w:t>
      </w:r>
      <w:r w:rsidRPr="00E0153A">
        <w:t xml:space="preserve"> inciso</w:t>
      </w:r>
      <w:r>
        <w:t>s</w:t>
      </w:r>
      <w:r w:rsidRPr="00E0153A">
        <w:t xml:space="preserve"> </w:t>
      </w:r>
      <w:r>
        <w:t xml:space="preserve">I e II </w:t>
      </w:r>
      <w:r w:rsidRPr="00E0153A">
        <w:t xml:space="preserve">do art. 3º </w:t>
      </w:r>
      <w:r>
        <w:t>da Lei nº 7.689, de 15 de dezembro de 1988</w:t>
      </w:r>
      <w:r w:rsidRPr="00E0153A">
        <w:t>, pelo seguinte texto:</w:t>
      </w:r>
    </w:p>
    <w:p w:rsidR="0033036A" w:rsidRDefault="0033036A" w:rsidP="0033036A">
      <w:pPr>
        <w:pStyle w:val="05-Pargrafodetexto-CLG"/>
        <w:spacing w:after="240"/>
      </w:pPr>
    </w:p>
    <w:p w:rsidR="0033036A" w:rsidRPr="00CA5B62" w:rsidRDefault="0033036A" w:rsidP="0033036A">
      <w:pPr>
        <w:pStyle w:val="05-Pargrafodetexto-CLG"/>
        <w:rPr>
          <w:sz w:val="24"/>
          <w:szCs w:val="24"/>
        </w:rPr>
      </w:pPr>
      <w:r w:rsidRPr="00CA5B62">
        <w:rPr>
          <w:b/>
          <w:sz w:val="24"/>
          <w:szCs w:val="24"/>
        </w:rPr>
        <w:t>Art. 1º</w:t>
      </w:r>
      <w:r w:rsidRPr="00CA5B62">
        <w:rPr>
          <w:sz w:val="24"/>
          <w:szCs w:val="24"/>
        </w:rPr>
        <w:t xml:space="preserve"> A Lei nº 7.689, de 15 de dezembro de 1988, passa a vigorar com as seguintes alterações:</w:t>
      </w:r>
    </w:p>
    <w:p w:rsidR="0033036A" w:rsidRPr="00CA5B62" w:rsidRDefault="0033036A" w:rsidP="0033036A">
      <w:pPr>
        <w:pStyle w:val="07-Citaolegal-CLG"/>
        <w:rPr>
          <w:szCs w:val="24"/>
        </w:rPr>
      </w:pPr>
      <w:r w:rsidRPr="00CA5B62">
        <w:rPr>
          <w:szCs w:val="24"/>
        </w:rPr>
        <w:t>“Art. 3º.............................................................................</w:t>
      </w:r>
    </w:p>
    <w:p w:rsidR="0033036A" w:rsidRPr="00CA5B62" w:rsidRDefault="0033036A" w:rsidP="0033036A">
      <w:pPr>
        <w:pStyle w:val="07-Citaolegal-CLG"/>
        <w:rPr>
          <w:szCs w:val="24"/>
        </w:rPr>
      </w:pPr>
      <w:r w:rsidRPr="00CA5B62">
        <w:rPr>
          <w:szCs w:val="24"/>
        </w:rPr>
        <w:t xml:space="preserve">I – 20% (vinte por cento), no período compreendido entre 1º de setembro de 2015 e 31 de dezembro de 2018, e 15% (quinze por cento) a partir de 1º de janeiro de 2019, no caso das pessoas jurídicas de seguros privados, das de capitalização e das referidas nos incisos I a VII e X do § 1º do art. 1º da Lei Complementar nº 105, de 10 de janeiro de 2001; </w:t>
      </w:r>
    </w:p>
    <w:p w:rsidR="0033036A" w:rsidRPr="00CA5B62" w:rsidRDefault="0033036A" w:rsidP="0033036A">
      <w:pPr>
        <w:pStyle w:val="07-Citaolegal-CLG"/>
        <w:rPr>
          <w:szCs w:val="24"/>
        </w:rPr>
      </w:pPr>
      <w:r w:rsidRPr="00CA5B62">
        <w:rPr>
          <w:szCs w:val="24"/>
        </w:rPr>
        <w:t>II – 17% (dezessete por cento), no período compreendido entre 1º de outubro de 2015 e 31 de dezembro de 2018, e 15% (quinze por cento) a partir de 1º de janeiro de 2019, no caso das pessoas jurídicas referidas no inciso IX do § 1º do art. 1º da Lei Complementar nº 105, de 2001;</w:t>
      </w:r>
    </w:p>
    <w:p w:rsidR="0033036A" w:rsidRPr="00CA5B62" w:rsidRDefault="0033036A" w:rsidP="0033036A">
      <w:pPr>
        <w:pStyle w:val="08-Citaolegal-ltimalinha-CLG"/>
        <w:rPr>
          <w:szCs w:val="24"/>
        </w:rPr>
      </w:pPr>
      <w:r w:rsidRPr="00CA5B62">
        <w:rPr>
          <w:szCs w:val="24"/>
        </w:rPr>
        <w:t>III – 9% (nove por cento), no caso das demais pessoas jurídicas.” (NR)</w:t>
      </w:r>
    </w:p>
    <w:p w:rsidR="0033036A" w:rsidRPr="008465D9" w:rsidRDefault="0033036A" w:rsidP="0033036A">
      <w:pPr>
        <w:pStyle w:val="05-Pargrafodetexto-CLG"/>
        <w:spacing w:after="240"/>
        <w:ind w:firstLine="0"/>
        <w:rPr>
          <w:b/>
        </w:rPr>
      </w:pPr>
      <w:r w:rsidRPr="008465D9">
        <w:rPr>
          <w:b/>
        </w:rPr>
        <w:t xml:space="preserve">VOTO </w:t>
      </w:r>
      <w:r w:rsidR="007D7178">
        <w:rPr>
          <w:b/>
        </w:rPr>
        <w:t>(texto consolidado)</w:t>
      </w:r>
    </w:p>
    <w:p w:rsidR="0033036A" w:rsidRDefault="0033036A" w:rsidP="0033036A">
      <w:pPr>
        <w:pStyle w:val="05-Pargrafodetexto-CLG"/>
      </w:pPr>
      <w:r>
        <w:t xml:space="preserve">Ante o exposto, votamos pela constitucionalidade, juridicidade e boa técnica legislativa da medida provisória, bem como pelo atendimento dos pressupostos de relevância e urgência e pela adequação financeira e orçamentária. No mérito, votamos pela aprovação da Medida Provisória nº 675, de 2015, acolhidas, integralmente, as Emendas nºs 18, 29, 120 e 172, e, parcialmente, as de nº 31, 39, 78, 87, 112, </w:t>
      </w:r>
      <w:r w:rsidR="00875449">
        <w:t>137, 160, 161, 169 e</w:t>
      </w:r>
      <w:r>
        <w:t xml:space="preserve"> 174, na forma do seguinte projeto de lei de conversão, e pela rejeição das demais emendas apresentadas na Comissão Mista.</w:t>
      </w:r>
    </w:p>
    <w:p w:rsidR="0033036A" w:rsidRPr="00533C65" w:rsidRDefault="0033036A" w:rsidP="0033036A">
      <w:pPr>
        <w:pStyle w:val="02-TtuloPrincipal-CLG"/>
      </w:pPr>
      <w:r>
        <w:lastRenderedPageBreak/>
        <w:t>PROJETO DE LEI DE CONVERSÃO Nº     , DE 2015 (Proveniente da Medida Provisória nº 675, de 2015)</w:t>
      </w:r>
    </w:p>
    <w:p w:rsidR="0033036A" w:rsidRPr="00533C65" w:rsidRDefault="0033036A" w:rsidP="0033036A">
      <w:pPr>
        <w:pStyle w:val="03-Ementa-CLG"/>
      </w:pPr>
      <w:r>
        <w:t>Altera a Lei nº 7.689, de 15 de dezembro de 1988, para elevar a alíquota da Contribuição Social sobre o Lucro Líquido – CSLL em relação às pessoas jurídicas de seguros privados e de capitalização, e às referidas nos incisos I a VII, IX e X do § 1º do art. 1º da Lei Complementar nº 105, de 10 de janeiro de 2001; altera as Leis nº</w:t>
      </w:r>
      <w:r w:rsidRPr="00DB5972">
        <w:rPr>
          <w:vertAlign w:val="superscript"/>
        </w:rPr>
        <w:t>s</w:t>
      </w:r>
      <w:r>
        <w:rPr>
          <w:vertAlign w:val="superscript"/>
        </w:rPr>
        <w:t xml:space="preserve"> </w:t>
      </w:r>
      <w:r w:rsidRPr="00777086">
        <w:t xml:space="preserve">8.402, de 8 de janeiro de 1992, 9.249, de 26 de dezembro de 1995, 9.491, de 9 de setembro de 1997, 9.808, de 20 de julho de 1999, 10.150, de 21 de dezembro de 2000, 10.637, de 30 de dezembro de 2002, 10.833, de 29 de dezembro de 2003, 10.865, de 30 de abril de 2004, 11.033, de 21 de dezembro de 2004, 11.484, de 31 de maio de 2007, e 12.715, de 17 de setembro de 2012, </w:t>
      </w:r>
      <w:r w:rsidR="007D7178">
        <w:t xml:space="preserve">e </w:t>
      </w:r>
      <w:r w:rsidRPr="00777086">
        <w:t>12.973, de 13 de maio de 2014</w:t>
      </w:r>
      <w:r>
        <w:t>; revoga dispositivo da Lei nº 9.986, de 18 de julho de 2000; e dá outras providências.</w:t>
      </w:r>
    </w:p>
    <w:p w:rsidR="0033036A" w:rsidRDefault="0033036A" w:rsidP="0033036A">
      <w:pPr>
        <w:pStyle w:val="05-Pargrafodetexto-CLG"/>
      </w:pPr>
      <w:r>
        <w:t>O CONGRESSO NACIONAL decreta:</w:t>
      </w:r>
    </w:p>
    <w:p w:rsidR="0033036A" w:rsidRDefault="0033036A" w:rsidP="0033036A">
      <w:pPr>
        <w:pStyle w:val="05-Pargrafodetexto-CLG"/>
      </w:pPr>
    </w:p>
    <w:p w:rsidR="0033036A" w:rsidRDefault="0033036A" w:rsidP="0033036A">
      <w:pPr>
        <w:pStyle w:val="05-Pargrafodetexto-CLG"/>
      </w:pPr>
      <w:r w:rsidRPr="000A0AB0">
        <w:rPr>
          <w:b/>
        </w:rPr>
        <w:t>Art. 1º</w:t>
      </w:r>
      <w:r>
        <w:t xml:space="preserve"> A Lei nº 7.689, de 15 de dezembro de 1988, passa a vigorar com as seguintes alterações:</w:t>
      </w:r>
    </w:p>
    <w:p w:rsidR="0033036A" w:rsidRDefault="0033036A" w:rsidP="0033036A">
      <w:pPr>
        <w:pStyle w:val="07-Citaolegal-CLG"/>
      </w:pPr>
      <w:r>
        <w:t>“Art. 3º.............................................................................</w:t>
      </w:r>
    </w:p>
    <w:p w:rsidR="0033036A" w:rsidRDefault="0033036A" w:rsidP="0033036A">
      <w:pPr>
        <w:pStyle w:val="07-Citaolegal-CLG"/>
      </w:pPr>
      <w:r>
        <w:t xml:space="preserve">I – 20% (vinte por cento), no período compreendido entre 1º de setembro de 2015 e 31 de dezembro de 2018, e 15% (quinze por cento) a partir de 1º de janeiro de 2019, no caso das pessoas jurídicas de seguros privados, das de capitalização e das referidas nos incisos I a VII e X do § 1º do art. 1º da Lei Complementar nº 105, de 10 de janeiro de 2001; </w:t>
      </w:r>
    </w:p>
    <w:p w:rsidR="0033036A" w:rsidRDefault="0033036A" w:rsidP="0033036A">
      <w:pPr>
        <w:pStyle w:val="07-Citaolegal-CLG"/>
      </w:pPr>
      <w:r>
        <w:t xml:space="preserve">II – 17% (dezessete por cento), no período compreendido entre 1º de outubro de 2015 e 31 de dezembro de 2018, e 15% (quinze por cento) a partir de 1º de janeiro de 2019, no caso das pessoas jurídicas </w:t>
      </w:r>
      <w:r>
        <w:lastRenderedPageBreak/>
        <w:t>referidas no inciso IX do § 1º do art. 1º da Lei Complementar nº 105, de 2001;</w:t>
      </w:r>
    </w:p>
    <w:p w:rsidR="0033036A" w:rsidRDefault="0033036A" w:rsidP="0033036A">
      <w:pPr>
        <w:pStyle w:val="08-Citaolegal-ltimalinha-CLG"/>
      </w:pPr>
      <w:r>
        <w:t xml:space="preserve">III – </w:t>
      </w:r>
      <w:r w:rsidRPr="00821B80">
        <w:t>9% (nove por cento), no caso das demais pessoas jurídicas.</w:t>
      </w:r>
      <w:r>
        <w:t>” (NR)</w:t>
      </w:r>
    </w:p>
    <w:p w:rsidR="0033036A" w:rsidRDefault="0033036A" w:rsidP="0033036A">
      <w:pPr>
        <w:pStyle w:val="05-Pargrafodetexto-CLG"/>
      </w:pPr>
      <w:r w:rsidRPr="00DF5ED1">
        <w:rPr>
          <w:b/>
        </w:rPr>
        <w:t>Art.</w:t>
      </w:r>
      <w:r>
        <w:rPr>
          <w:b/>
        </w:rPr>
        <w:t xml:space="preserve"> 2</w:t>
      </w:r>
      <w:r w:rsidRPr="00DF5ED1">
        <w:rPr>
          <w:b/>
        </w:rPr>
        <w:t>º</w:t>
      </w:r>
      <w:r>
        <w:t xml:space="preserve"> O art. 4º da Lei nº 9.808, de 20 de julho de 1999, passa a vigorar com a seguinte redação:</w:t>
      </w:r>
    </w:p>
    <w:p w:rsidR="0033036A" w:rsidRDefault="0033036A" w:rsidP="0033036A">
      <w:pPr>
        <w:pStyle w:val="08-Citaolegal-ltimalinha-CLG"/>
      </w:pPr>
      <w:r>
        <w:t>“Art. 4º Será concedida aos empreendimentos que se implantarem, modernizarem, ampliarem ou diversificarem no Nordeste e na Amazônia e que sejam considerados de interesse para o desenvolvimento destas regiões, segundo avaliações técnicas específicas das respectivas Superintendências de Desenvolvimento, até 31 de dezembro de 2020, a isenção do Adicional ao Frete para a Renovação da Marinha Mercante (AFRMM).” (NR)</w:t>
      </w:r>
    </w:p>
    <w:p w:rsidR="0033036A" w:rsidRDefault="0033036A" w:rsidP="0033036A">
      <w:pPr>
        <w:pStyle w:val="05-Pargrafodetexto-CLG"/>
      </w:pPr>
      <w:r w:rsidRPr="00A34DA2">
        <w:rPr>
          <w:b/>
        </w:rPr>
        <w:t xml:space="preserve">Art. </w:t>
      </w:r>
      <w:r>
        <w:rPr>
          <w:b/>
        </w:rPr>
        <w:t>3</w:t>
      </w:r>
      <w:r w:rsidRPr="00A34DA2">
        <w:rPr>
          <w:b/>
        </w:rPr>
        <w:t>º</w:t>
      </w:r>
      <w:r>
        <w:t xml:space="preserve"> O art. 1º da Lei nº 8.402, de 8 de janeiro de 1992, passa a vigorar acrescido de parágrafo com a seguinte redação:</w:t>
      </w:r>
    </w:p>
    <w:p w:rsidR="0033036A" w:rsidRDefault="0033036A" w:rsidP="0033036A">
      <w:pPr>
        <w:pStyle w:val="07-Citaolegal-CLG"/>
      </w:pPr>
      <w:r>
        <w:t>“Art. 1º ...............................................................................</w:t>
      </w:r>
    </w:p>
    <w:p w:rsidR="0033036A" w:rsidRDefault="0033036A" w:rsidP="0033036A">
      <w:pPr>
        <w:pStyle w:val="07-Citaolegal-CLG"/>
      </w:pPr>
      <w:r>
        <w:t>............................................................................................</w:t>
      </w:r>
    </w:p>
    <w:p w:rsidR="0033036A" w:rsidRDefault="0033036A" w:rsidP="0033036A">
      <w:pPr>
        <w:pStyle w:val="08-Citaolegal-ltimalinha-CLG"/>
      </w:pPr>
      <w:r>
        <w:t>§ 3º Na aplicação do regime aduaneiro especial de drawback à industrialização de embarcação de que trata o § 2º, o prazo de suspensão dos tributos poderá ser de até 7 (sete) anos.” (NR)</w:t>
      </w:r>
    </w:p>
    <w:p w:rsidR="0033036A" w:rsidRDefault="0033036A" w:rsidP="0033036A">
      <w:pPr>
        <w:pStyle w:val="05-Pargrafodetexto-CLG"/>
      </w:pPr>
      <w:r w:rsidRPr="00A34DA2">
        <w:rPr>
          <w:b/>
        </w:rPr>
        <w:t xml:space="preserve">Art. </w:t>
      </w:r>
      <w:r>
        <w:rPr>
          <w:b/>
        </w:rPr>
        <w:t>4</w:t>
      </w:r>
      <w:r w:rsidRPr="00A34DA2">
        <w:rPr>
          <w:b/>
        </w:rPr>
        <w:t>º</w:t>
      </w:r>
      <w:r>
        <w:t xml:space="preserve"> O art. 5º da Lei nº 10.637, de 30 de dezembro de 2002, passa a vigorar com a seguinte redação:</w:t>
      </w:r>
    </w:p>
    <w:p w:rsidR="0033036A" w:rsidRDefault="0033036A" w:rsidP="0033036A">
      <w:pPr>
        <w:pStyle w:val="07-Citaolegal-CLG"/>
      </w:pPr>
      <w:r>
        <w:t>“Art. 5º ...............................................................................</w:t>
      </w:r>
    </w:p>
    <w:p w:rsidR="0033036A" w:rsidRDefault="0033036A" w:rsidP="0033036A">
      <w:pPr>
        <w:pStyle w:val="07-Citaolegal-CLG"/>
      </w:pPr>
      <w:r>
        <w:t>............................................................................................</w:t>
      </w:r>
    </w:p>
    <w:p w:rsidR="0033036A" w:rsidRDefault="0033036A" w:rsidP="0033036A">
      <w:pPr>
        <w:pStyle w:val="07-Citaolegal-CLG"/>
      </w:pPr>
      <w:r>
        <w:t>IV – cessão ou transferência de direitos a pessoa física ou jurídica domiciliada no exterior, inclusive licença de tecnologia, cujo pagamento represente ingresso de divisas.</w:t>
      </w:r>
    </w:p>
    <w:p w:rsidR="0033036A" w:rsidRDefault="0033036A" w:rsidP="0033036A">
      <w:pPr>
        <w:pStyle w:val="08-Citaolegal-ltimalinha-CLG"/>
      </w:pPr>
      <w:r>
        <w:t>........................................................................................</w:t>
      </w:r>
    </w:p>
    <w:p w:rsidR="0033036A" w:rsidRDefault="0033036A" w:rsidP="0033036A">
      <w:pPr>
        <w:pStyle w:val="08-Citaolegal-ltimalinha-CLG"/>
      </w:pPr>
      <w:r>
        <w:t xml:space="preserve">§ 3º O disposto no inciso IV do </w:t>
      </w:r>
      <w:r w:rsidRPr="00635C8E">
        <w:rPr>
          <w:i/>
        </w:rPr>
        <w:t>caput</w:t>
      </w:r>
      <w:r>
        <w:t xml:space="preserve"> não se aplica no caso de cessão ou transferência de direitos a pessoa física ou jurídica domiciliada em país com tributação favorecida ou beneficiária de regime fiscal privilegiado, nos termos dos arts. 24 e 24-A da Lei nº 9.430, de 27 de dezembro de 1996.” (NR)</w:t>
      </w:r>
    </w:p>
    <w:p w:rsidR="0033036A" w:rsidRDefault="0033036A" w:rsidP="0033036A">
      <w:pPr>
        <w:pStyle w:val="05-Pargrafodetexto-CLG"/>
      </w:pPr>
      <w:r w:rsidRPr="00A34DA2">
        <w:rPr>
          <w:b/>
        </w:rPr>
        <w:lastRenderedPageBreak/>
        <w:t xml:space="preserve">Art. </w:t>
      </w:r>
      <w:r>
        <w:rPr>
          <w:b/>
        </w:rPr>
        <w:t>5</w:t>
      </w:r>
      <w:r w:rsidRPr="00A34DA2">
        <w:rPr>
          <w:b/>
        </w:rPr>
        <w:t>º</w:t>
      </w:r>
      <w:r>
        <w:t xml:space="preserve"> O art. 6º da Lei nº 10.833, de 29 de dezembro de 2003, passa a vigorar com a seguinte redação:</w:t>
      </w:r>
    </w:p>
    <w:p w:rsidR="0033036A" w:rsidRPr="00413D13" w:rsidRDefault="0033036A" w:rsidP="0033036A">
      <w:pPr>
        <w:pStyle w:val="07-Citaolegal-CLG"/>
      </w:pPr>
      <w:r w:rsidRPr="00413D13">
        <w:t>“Art. 6º ..................................................................................</w:t>
      </w:r>
      <w:r>
        <w:t>.</w:t>
      </w:r>
    </w:p>
    <w:p w:rsidR="0033036A" w:rsidRPr="00413D13" w:rsidRDefault="0033036A" w:rsidP="0033036A">
      <w:pPr>
        <w:pStyle w:val="07-Citaolegal-CLG"/>
      </w:pPr>
      <w:r w:rsidRPr="00413D13">
        <w:t>...............................................................................................</w:t>
      </w:r>
    </w:p>
    <w:p w:rsidR="0033036A" w:rsidRPr="00413D13" w:rsidRDefault="0033036A" w:rsidP="0033036A">
      <w:pPr>
        <w:pStyle w:val="07-Citaolegal-CLG"/>
      </w:pPr>
      <w:r w:rsidRPr="00413D13">
        <w:t>IV –</w:t>
      </w:r>
      <w:r>
        <w:t xml:space="preserve"> cessão ou transferência de direitos a pessoa física ou jurídica domiciliada no exterior, inclusive licença de tecnologia, cujo pagamento represente ingresso de divisas.</w:t>
      </w:r>
    </w:p>
    <w:p w:rsidR="0033036A" w:rsidRDefault="0033036A" w:rsidP="0033036A">
      <w:pPr>
        <w:pStyle w:val="08-Citaolegal-ltimalinha-CLG"/>
      </w:pPr>
      <w:r>
        <w:t>................................................................................</w:t>
      </w:r>
    </w:p>
    <w:p w:rsidR="0033036A" w:rsidRDefault="0033036A" w:rsidP="0033036A">
      <w:pPr>
        <w:pStyle w:val="08-Citaolegal-ltimalinha-CLG"/>
      </w:pPr>
      <w:r>
        <w:t xml:space="preserve">§ 5º O disposto no inciso IV do </w:t>
      </w:r>
      <w:r w:rsidRPr="00635C8E">
        <w:rPr>
          <w:i/>
        </w:rPr>
        <w:t>caput</w:t>
      </w:r>
      <w:r>
        <w:t xml:space="preserve"> não se aplica no caso de cessão ou transferência de direitos a pessoa física ou jurídica domiciliada em país com tributação favorecida ou beneficiária de regime fiscal privilegiado, nos termos dos arts. 24 e 24-A da Lei nº 9.430, de 27 de dezembro de 1996.” (NR)</w:t>
      </w:r>
    </w:p>
    <w:p w:rsidR="0033036A" w:rsidRDefault="0033036A" w:rsidP="0033036A">
      <w:pPr>
        <w:pStyle w:val="05-Pargrafodetexto-CLG"/>
      </w:pPr>
      <w:r w:rsidRPr="00A34DA2">
        <w:rPr>
          <w:b/>
        </w:rPr>
        <w:t xml:space="preserve">Art. </w:t>
      </w:r>
      <w:r>
        <w:rPr>
          <w:b/>
        </w:rPr>
        <w:t>6</w:t>
      </w:r>
      <w:r w:rsidRPr="00A34DA2">
        <w:rPr>
          <w:b/>
        </w:rPr>
        <w:t>º</w:t>
      </w:r>
      <w:r>
        <w:t xml:space="preserve"> A Lei nº 11.033, de 21 de dezembro de 2004, passa a vigorar com a seguinte alteração:</w:t>
      </w:r>
    </w:p>
    <w:p w:rsidR="0033036A" w:rsidRPr="00BB39FB" w:rsidRDefault="0033036A" w:rsidP="0033036A">
      <w:pPr>
        <w:pStyle w:val="08-Citaolegal-ltimalinha-CLG"/>
      </w:pPr>
      <w:r>
        <w:t>“Art. 16. Os beneficiários do Reporto descritos no art. 15 desta Lei ficam acrescidos das empresas de dragagem, definidas na Lei nº 12.815, de 5 de junho de 2013 (Lei dos Portos), dos recintos alfandegados de zona secundária e dos centros de formação profissional e treinamento multifuncional de que trata o art. 33 da Lei nº 12.815, de 2013, e poderão efetuar aquisições e importações amparadas pelo Reporto até 31 de dezembro de 2020.” (NR)</w:t>
      </w:r>
    </w:p>
    <w:p w:rsidR="0033036A" w:rsidRDefault="0033036A" w:rsidP="0033036A">
      <w:pPr>
        <w:pStyle w:val="05-Pargrafodetexto-CLG"/>
        <w:spacing w:after="120"/>
      </w:pPr>
      <w:r>
        <w:rPr>
          <w:b/>
        </w:rPr>
        <w:t xml:space="preserve">Art. 7º </w:t>
      </w:r>
      <w:r w:rsidRPr="00CF2FCB">
        <w:t>Ficam reduzidas a zero as alíquotas da Contribuição para o PIS/P</w:t>
      </w:r>
      <w:r>
        <w:t>asep</w:t>
      </w:r>
      <w:r w:rsidRPr="00CF2FCB">
        <w:t xml:space="preserve"> e da Contribuição para o Financiamento da Seguridade Social </w:t>
      </w:r>
      <w:r>
        <w:t>(</w:t>
      </w:r>
      <w:r w:rsidRPr="00CF2FCB">
        <w:t>COFINS</w:t>
      </w:r>
      <w:r>
        <w:t>)</w:t>
      </w:r>
      <w:r w:rsidRPr="00CF2FCB">
        <w:t xml:space="preserve"> incidentes sobre a energia elétrica ativa fornecida pela distribuidora à unidade consumidora, na quantidade correspondente à soma da energia elétrica ativa injetada na rede de distribuição pela mesma unidade consumidora com os créditos de energia ativa originados na própria unidade consumidora no mesmo mês, em meses anteriores ou em outra unidade consumidora do mesmo titular, nos termos do Sistema de Compensação de Energia Elétrica para microgeração e minigeração distribuída, conforme regulamentação da ANEEL.</w:t>
      </w:r>
    </w:p>
    <w:p w:rsidR="0033036A" w:rsidRDefault="0033036A" w:rsidP="0033036A">
      <w:pPr>
        <w:pStyle w:val="05-Pargrafodetexto-CLG"/>
        <w:spacing w:after="120"/>
      </w:pPr>
    </w:p>
    <w:p w:rsidR="0033036A" w:rsidRPr="008F4E9E" w:rsidRDefault="0033036A" w:rsidP="0033036A">
      <w:pPr>
        <w:pStyle w:val="05-Pargrafodetexto-CLG"/>
      </w:pPr>
      <w:r>
        <w:rPr>
          <w:b/>
        </w:rPr>
        <w:t xml:space="preserve">Art. 8º </w:t>
      </w:r>
      <w:r w:rsidRPr="00CF2FCB">
        <w:t xml:space="preserve">Ficam </w:t>
      </w:r>
      <w:r w:rsidRPr="008F4E9E">
        <w:t xml:space="preserve">reduzidas a zero, por um prazo de 5 </w:t>
      </w:r>
      <w:r>
        <w:t xml:space="preserve">(cinco) </w:t>
      </w:r>
      <w:r w:rsidRPr="008F4E9E">
        <w:t>anos, as alíquotas da Contribuição para o PIS/PASEP, d</w:t>
      </w:r>
      <w:r>
        <w:t>e</w:t>
      </w:r>
      <w:r w:rsidRPr="008F4E9E">
        <w:t xml:space="preserve"> PIS/Pasep-Importação, da </w:t>
      </w:r>
      <w:r w:rsidRPr="008F4E9E">
        <w:lastRenderedPageBreak/>
        <w:t xml:space="preserve">Contribuição para o Financiamento da Seguridade Social – COFINS e da Cofins-Importação incidentes sobre os produtos a seguir indicados e respectivas classificações na </w:t>
      </w:r>
      <w:r w:rsidRPr="002568B1">
        <w:t>Nomenclatura</w:t>
      </w:r>
      <w:r w:rsidRPr="008F4E9E">
        <w:t xml:space="preserve"> </w:t>
      </w:r>
      <w:r>
        <w:t>Comum do Mercosul</w:t>
      </w:r>
      <w:r w:rsidRPr="008F4E9E">
        <w:t>, utilizados exclusiva ou principalmente para fabricação de itens na microgeração e minigeração distribuída, conforme regulamentação da ANEEL:</w:t>
      </w:r>
    </w:p>
    <w:p w:rsidR="0033036A" w:rsidRPr="008F4E9E" w:rsidRDefault="00C216F8" w:rsidP="0033036A">
      <w:pPr>
        <w:pStyle w:val="A5-1TextoAcordo"/>
        <w:rPr>
          <w:rFonts w:ascii="Times New Roman" w:eastAsia="Calibri" w:hAnsi="Times New Roman" w:cs="Times New Roman"/>
          <w:sz w:val="24"/>
          <w:szCs w:val="24"/>
          <w:lang w:eastAsia="en-US"/>
        </w:rPr>
      </w:pPr>
      <w:r w:rsidRPr="008F4E9E">
        <w:rPr>
          <w:rFonts w:ascii="Times New Roman" w:hAnsi="Times New Roman" w:cs="Times New Roman"/>
          <w:sz w:val="24"/>
          <w:szCs w:val="24"/>
        </w:rPr>
        <w:fldChar w:fldCharType="begin"/>
      </w:r>
      <w:r w:rsidR="0033036A" w:rsidRPr="008F4E9E">
        <w:rPr>
          <w:rFonts w:ascii="Times New Roman" w:hAnsi="Times New Roman" w:cs="Times New Roman"/>
          <w:sz w:val="24"/>
          <w:szCs w:val="24"/>
        </w:rPr>
        <w:instrText xml:space="preserve"> LINK Excel.Sheet.12 Pasta1 Plan1!L1C1:L36C4 \a \f 4 \h  \* MERGEFORMAT </w:instrText>
      </w:r>
      <w:r w:rsidRPr="008F4E9E">
        <w:rPr>
          <w:rFonts w:ascii="Times New Roman" w:hAnsi="Times New Roman" w:cs="Times New Roman"/>
          <w:sz w:val="24"/>
          <w:szCs w:val="24"/>
        </w:rPr>
        <w:fldChar w:fldCharType="separate"/>
      </w:r>
    </w:p>
    <w:tbl>
      <w:tblPr>
        <w:tblW w:w="9087" w:type="dxa"/>
        <w:tblInd w:w="55" w:type="dxa"/>
        <w:tblCellMar>
          <w:left w:w="70" w:type="dxa"/>
          <w:right w:w="70" w:type="dxa"/>
        </w:tblCellMar>
        <w:tblLook w:val="04A0"/>
      </w:tblPr>
      <w:tblGrid>
        <w:gridCol w:w="914"/>
        <w:gridCol w:w="220"/>
        <w:gridCol w:w="6678"/>
        <w:gridCol w:w="1287"/>
      </w:tblGrid>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Estrutura de suporte - Outras chapas, folhas, tiras, películas de </w:t>
            </w:r>
            <w:proofErr w:type="gramStart"/>
            <w:r w:rsidRPr="008F4E9E">
              <w:t>plástico</w:t>
            </w:r>
            <w:proofErr w:type="gramEnd"/>
          </w:p>
        </w:tc>
        <w:tc>
          <w:tcPr>
            <w:tcW w:w="1275" w:type="dxa"/>
            <w:shd w:val="clear" w:color="000000" w:fill="FFFFFF"/>
            <w:noWrap/>
            <w:vAlign w:val="center"/>
            <w:hideMark/>
          </w:tcPr>
          <w:p w:rsidR="0033036A" w:rsidRPr="008F4E9E" w:rsidRDefault="0033036A" w:rsidP="007D7178">
            <w:pPr>
              <w:jc w:val="center"/>
            </w:pPr>
            <w:r w:rsidRPr="008F4E9E">
              <w:t>3919.90.00;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Outras obras de plástico - Bucha plástica</w:t>
            </w:r>
          </w:p>
        </w:tc>
        <w:tc>
          <w:tcPr>
            <w:tcW w:w="1275" w:type="dxa"/>
            <w:shd w:val="clear" w:color="000000" w:fill="FFFFFF"/>
            <w:noWrap/>
            <w:vAlign w:val="center"/>
            <w:hideMark/>
          </w:tcPr>
          <w:p w:rsidR="0033036A" w:rsidRPr="008F4E9E" w:rsidRDefault="0033036A" w:rsidP="007D7178">
            <w:pPr>
              <w:jc w:val="center"/>
            </w:pPr>
            <w:r w:rsidRPr="008F4E9E">
              <w:t>3926.90.90;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III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Estrutura de suporte fixa em aço</w:t>
            </w:r>
          </w:p>
        </w:tc>
        <w:tc>
          <w:tcPr>
            <w:tcW w:w="1275" w:type="dxa"/>
            <w:shd w:val="clear" w:color="000000" w:fill="FFFFFF"/>
            <w:noWrap/>
            <w:vAlign w:val="center"/>
            <w:hideMark/>
          </w:tcPr>
          <w:p w:rsidR="0033036A" w:rsidRPr="008F4E9E" w:rsidRDefault="0033036A" w:rsidP="007D7178">
            <w:pPr>
              <w:jc w:val="center"/>
            </w:pPr>
            <w:r w:rsidRPr="008F4E9E">
              <w:t>7308.90.10;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IV</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Estrutura de suporte - Outras construções e suas partes, ferro/aço, exceto </w:t>
            </w:r>
            <w:proofErr w:type="gramStart"/>
            <w:r w:rsidRPr="008F4E9E">
              <w:t>94.06</w:t>
            </w:r>
            <w:proofErr w:type="gramEnd"/>
          </w:p>
        </w:tc>
        <w:tc>
          <w:tcPr>
            <w:tcW w:w="1275" w:type="dxa"/>
            <w:shd w:val="clear" w:color="000000" w:fill="FFFFFF"/>
            <w:noWrap/>
            <w:vAlign w:val="center"/>
            <w:hideMark/>
          </w:tcPr>
          <w:p w:rsidR="0033036A" w:rsidRPr="008F4E9E" w:rsidRDefault="0033036A" w:rsidP="007D7178">
            <w:pPr>
              <w:jc w:val="center"/>
            </w:pPr>
            <w:r w:rsidRPr="008F4E9E">
              <w:t>7308.90.90;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V</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Estrutura de suporte - Outros parafusos e pinos ou pernos, mesmo com as porcas e </w:t>
            </w:r>
            <w:proofErr w:type="gramStart"/>
            <w:r w:rsidRPr="008F4E9E">
              <w:t>arruelas</w:t>
            </w:r>
            <w:proofErr w:type="gramEnd"/>
          </w:p>
        </w:tc>
        <w:tc>
          <w:tcPr>
            <w:tcW w:w="1275" w:type="dxa"/>
            <w:shd w:val="clear" w:color="000000" w:fill="FFFFFF"/>
            <w:noWrap/>
            <w:vAlign w:val="center"/>
            <w:hideMark/>
          </w:tcPr>
          <w:p w:rsidR="0033036A" w:rsidRPr="008F4E9E" w:rsidRDefault="0033036A" w:rsidP="007D7178">
            <w:pPr>
              <w:jc w:val="center"/>
            </w:pPr>
            <w:r w:rsidRPr="008F4E9E">
              <w:t>7318.15.00;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VI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proofErr w:type="gramStart"/>
            <w:r w:rsidRPr="008F4E9E">
              <w:t>Estrutura de suporte - Porcas de ferro fundido</w:t>
            </w:r>
            <w:proofErr w:type="gramEnd"/>
            <w:r w:rsidRPr="008F4E9E">
              <w:t>, ferro ou aço</w:t>
            </w:r>
          </w:p>
        </w:tc>
        <w:tc>
          <w:tcPr>
            <w:tcW w:w="1275" w:type="dxa"/>
            <w:shd w:val="clear" w:color="000000" w:fill="FFFFFF"/>
            <w:noWrap/>
            <w:vAlign w:val="center"/>
            <w:hideMark/>
          </w:tcPr>
          <w:p w:rsidR="0033036A" w:rsidRPr="008F4E9E" w:rsidRDefault="0033036A" w:rsidP="007D7178">
            <w:pPr>
              <w:jc w:val="center"/>
            </w:pPr>
            <w:r w:rsidRPr="008F4E9E">
              <w:t>7318.16.00;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VII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Estrutura de suporte - Arruelas de pressão e outras arruelas de segurança</w:t>
            </w:r>
          </w:p>
        </w:tc>
        <w:tc>
          <w:tcPr>
            <w:tcW w:w="1275" w:type="dxa"/>
            <w:shd w:val="clear" w:color="000000" w:fill="FFFFFF"/>
            <w:noWrap/>
            <w:vAlign w:val="center"/>
            <w:hideMark/>
          </w:tcPr>
          <w:p w:rsidR="0033036A" w:rsidRPr="008F4E9E" w:rsidRDefault="0033036A" w:rsidP="007D7178">
            <w:pPr>
              <w:jc w:val="center"/>
            </w:pPr>
            <w:r w:rsidRPr="008F4E9E">
              <w:t>7318.21.00;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VIII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Outras arruelas ferro fundido, ferro ou </w:t>
            </w:r>
            <w:proofErr w:type="gramStart"/>
            <w:r w:rsidRPr="008F4E9E">
              <w:t>aço</w:t>
            </w:r>
            <w:proofErr w:type="gramEnd"/>
          </w:p>
        </w:tc>
        <w:tc>
          <w:tcPr>
            <w:tcW w:w="1275" w:type="dxa"/>
            <w:shd w:val="clear" w:color="000000" w:fill="FFFFFF"/>
            <w:noWrap/>
            <w:vAlign w:val="center"/>
            <w:hideMark/>
          </w:tcPr>
          <w:p w:rsidR="0033036A" w:rsidRPr="008F4E9E" w:rsidRDefault="0033036A" w:rsidP="007D7178">
            <w:pPr>
              <w:jc w:val="center"/>
            </w:pPr>
            <w:r w:rsidRPr="008F4E9E">
              <w:t>7318.22.00;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IX</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Estrutura de suporte - Rebites de ferro fundido, ferro ou </w:t>
            </w:r>
            <w:proofErr w:type="gramStart"/>
            <w:r w:rsidRPr="008F4E9E">
              <w:t>aço</w:t>
            </w:r>
            <w:proofErr w:type="gramEnd"/>
          </w:p>
        </w:tc>
        <w:tc>
          <w:tcPr>
            <w:tcW w:w="1275" w:type="dxa"/>
            <w:shd w:val="clear" w:color="000000" w:fill="FFFFFF"/>
            <w:noWrap/>
            <w:vAlign w:val="center"/>
            <w:hideMark/>
          </w:tcPr>
          <w:p w:rsidR="0033036A" w:rsidRPr="008F4E9E" w:rsidRDefault="0033036A" w:rsidP="007D7178">
            <w:pPr>
              <w:jc w:val="center"/>
            </w:pPr>
            <w:r w:rsidRPr="008F4E9E">
              <w:t>7318.23.00;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Cabos de cobre para uso elétrico</w:t>
            </w:r>
          </w:p>
        </w:tc>
        <w:tc>
          <w:tcPr>
            <w:tcW w:w="1275" w:type="dxa"/>
            <w:shd w:val="clear" w:color="000000" w:fill="FFFFFF"/>
            <w:noWrap/>
            <w:vAlign w:val="center"/>
            <w:hideMark/>
          </w:tcPr>
          <w:p w:rsidR="0033036A" w:rsidRPr="008F4E9E" w:rsidRDefault="0033036A" w:rsidP="007D7178">
            <w:pPr>
              <w:jc w:val="center"/>
            </w:pPr>
            <w:r w:rsidRPr="008F4E9E">
              <w:t>7413.00.00;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Estruturas de suporte - Barras e perfis de alumínio</w:t>
            </w:r>
          </w:p>
        </w:tc>
        <w:tc>
          <w:tcPr>
            <w:tcW w:w="1275" w:type="dxa"/>
            <w:shd w:val="clear" w:color="000000" w:fill="FFFFFF"/>
            <w:noWrap/>
            <w:vAlign w:val="center"/>
            <w:hideMark/>
          </w:tcPr>
          <w:p w:rsidR="0033036A" w:rsidRPr="008F4E9E" w:rsidRDefault="0033036A" w:rsidP="007D7178">
            <w:pPr>
              <w:jc w:val="center"/>
            </w:pPr>
            <w:r w:rsidRPr="008F4E9E">
              <w:t>7604.21.00;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Estrutura de suporte fixa em alumínio</w:t>
            </w:r>
          </w:p>
        </w:tc>
        <w:tc>
          <w:tcPr>
            <w:tcW w:w="1275" w:type="dxa"/>
            <w:shd w:val="clear" w:color="000000" w:fill="FFFFFF"/>
            <w:noWrap/>
            <w:vAlign w:val="center"/>
            <w:hideMark/>
          </w:tcPr>
          <w:p w:rsidR="0033036A" w:rsidRPr="008F4E9E" w:rsidRDefault="0033036A" w:rsidP="007D7178">
            <w:pPr>
              <w:jc w:val="center"/>
            </w:pPr>
            <w:r w:rsidRPr="008F4E9E">
              <w:t>7606.12.90;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XIII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Estrutura de suporte - Outras construções e suas partes, alumínio, exceto </w:t>
            </w:r>
            <w:proofErr w:type="gramStart"/>
            <w:r w:rsidRPr="008F4E9E">
              <w:t>94.06</w:t>
            </w:r>
            <w:proofErr w:type="gramEnd"/>
          </w:p>
        </w:tc>
        <w:tc>
          <w:tcPr>
            <w:tcW w:w="1275" w:type="dxa"/>
            <w:shd w:val="clear" w:color="000000" w:fill="FFFFFF"/>
            <w:noWrap/>
            <w:vAlign w:val="center"/>
            <w:hideMark/>
          </w:tcPr>
          <w:p w:rsidR="0033036A" w:rsidRPr="008F4E9E" w:rsidRDefault="0033036A" w:rsidP="007D7178">
            <w:pPr>
              <w:jc w:val="center"/>
            </w:pPr>
            <w:r w:rsidRPr="008F4E9E">
              <w:t>7610.90.00;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XIV</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String </w:t>
            </w:r>
            <w:proofErr w:type="spellStart"/>
            <w:proofErr w:type="gramStart"/>
            <w:r w:rsidRPr="008F4E9E">
              <w:t>box</w:t>
            </w:r>
            <w:proofErr w:type="spellEnd"/>
            <w:proofErr w:type="gramEnd"/>
            <w:r w:rsidRPr="008F4E9E">
              <w:t xml:space="preserve"> e data </w:t>
            </w:r>
            <w:proofErr w:type="spellStart"/>
            <w:r w:rsidRPr="008F4E9E">
              <w:t>logger</w:t>
            </w:r>
            <w:proofErr w:type="spellEnd"/>
            <w:r w:rsidRPr="008F4E9E">
              <w:t xml:space="preserve"> - Outros aparelhos</w:t>
            </w:r>
            <w:r>
              <w:t xml:space="preserve"> </w:t>
            </w:r>
            <w:r w:rsidRPr="008F4E9E">
              <w:t>e instrumentos mecânicos, e suas partes</w:t>
            </w:r>
          </w:p>
        </w:tc>
        <w:tc>
          <w:tcPr>
            <w:tcW w:w="1275" w:type="dxa"/>
            <w:shd w:val="clear" w:color="000000" w:fill="FFFFFF"/>
            <w:noWrap/>
            <w:vAlign w:val="center"/>
            <w:hideMark/>
          </w:tcPr>
          <w:p w:rsidR="0033036A" w:rsidRPr="008F4E9E" w:rsidRDefault="0033036A" w:rsidP="007D7178">
            <w:pPr>
              <w:jc w:val="center"/>
            </w:pPr>
            <w:r w:rsidRPr="008F4E9E">
              <w:t>8404.90.90;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XV</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Bomba para líquidos, para uso em sistema de energia solar fotovoltaico em corrente </w:t>
            </w:r>
            <w:proofErr w:type="gramStart"/>
            <w:r w:rsidRPr="008F4E9E">
              <w:t>contínua</w:t>
            </w:r>
            <w:proofErr w:type="gramEnd"/>
          </w:p>
        </w:tc>
        <w:tc>
          <w:tcPr>
            <w:tcW w:w="1275" w:type="dxa"/>
            <w:shd w:val="clear" w:color="000000" w:fill="FFFFFF"/>
            <w:noWrap/>
            <w:vAlign w:val="center"/>
            <w:hideMark/>
          </w:tcPr>
          <w:p w:rsidR="0033036A" w:rsidRPr="008F4E9E" w:rsidRDefault="0033036A" w:rsidP="007D7178">
            <w:pPr>
              <w:jc w:val="center"/>
            </w:pPr>
            <w:r w:rsidRPr="008F4E9E">
              <w:t>8413.81.00;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XVI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Gerador fotovoltaico de potência não superior a 750 W</w:t>
            </w:r>
          </w:p>
        </w:tc>
        <w:tc>
          <w:tcPr>
            <w:tcW w:w="1275" w:type="dxa"/>
            <w:shd w:val="clear" w:color="000000" w:fill="FFFFFF"/>
            <w:noWrap/>
            <w:vAlign w:val="center"/>
            <w:hideMark/>
          </w:tcPr>
          <w:p w:rsidR="0033036A" w:rsidRPr="008F4E9E" w:rsidRDefault="0033036A" w:rsidP="007D7178">
            <w:pPr>
              <w:jc w:val="center"/>
            </w:pPr>
            <w:r w:rsidRPr="008F4E9E">
              <w:t>8501.31.20;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XVII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Gerador fotovoltaico de potência superior a 750 W</w:t>
            </w:r>
            <w:proofErr w:type="gramStart"/>
            <w:r w:rsidRPr="008F4E9E">
              <w:t xml:space="preserve"> mas</w:t>
            </w:r>
            <w:proofErr w:type="gramEnd"/>
            <w:r w:rsidRPr="008F4E9E">
              <w:t xml:space="preserve"> não superior a 75 kW</w:t>
            </w:r>
          </w:p>
        </w:tc>
        <w:tc>
          <w:tcPr>
            <w:tcW w:w="1275" w:type="dxa"/>
            <w:shd w:val="clear" w:color="000000" w:fill="FFFFFF"/>
            <w:noWrap/>
            <w:vAlign w:val="center"/>
            <w:hideMark/>
          </w:tcPr>
          <w:p w:rsidR="0033036A" w:rsidRPr="008F4E9E" w:rsidRDefault="0033036A" w:rsidP="007D7178">
            <w:pPr>
              <w:jc w:val="center"/>
            </w:pPr>
            <w:r w:rsidRPr="008F4E9E">
              <w:t>8501.32.20;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XVIII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Gerador fotovoltaico de potência superior a 75 </w:t>
            </w:r>
            <w:proofErr w:type="gramStart"/>
            <w:r w:rsidRPr="008F4E9E">
              <w:t>kW</w:t>
            </w:r>
            <w:proofErr w:type="gramEnd"/>
            <w:r w:rsidRPr="008F4E9E">
              <w:t xml:space="preserve"> mas não superior a 375 kW</w:t>
            </w:r>
          </w:p>
        </w:tc>
        <w:tc>
          <w:tcPr>
            <w:tcW w:w="1275" w:type="dxa"/>
            <w:shd w:val="clear" w:color="000000" w:fill="FFFFFF"/>
            <w:noWrap/>
            <w:vAlign w:val="center"/>
            <w:hideMark/>
          </w:tcPr>
          <w:p w:rsidR="0033036A" w:rsidRPr="008F4E9E" w:rsidRDefault="0033036A" w:rsidP="007D7178">
            <w:pPr>
              <w:jc w:val="center"/>
            </w:pPr>
            <w:r w:rsidRPr="008F4E9E">
              <w:t>8501.33.20;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XIX</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Gerador fotovoltaico de potência superior a 375 </w:t>
            </w:r>
            <w:proofErr w:type="gramStart"/>
            <w:r w:rsidRPr="008F4E9E">
              <w:t>kW</w:t>
            </w:r>
            <w:proofErr w:type="gramEnd"/>
          </w:p>
        </w:tc>
        <w:tc>
          <w:tcPr>
            <w:tcW w:w="1275" w:type="dxa"/>
            <w:shd w:val="clear" w:color="000000" w:fill="FFFFFF"/>
            <w:noWrap/>
            <w:vAlign w:val="center"/>
            <w:hideMark/>
          </w:tcPr>
          <w:p w:rsidR="0033036A" w:rsidRPr="008F4E9E" w:rsidRDefault="0033036A" w:rsidP="007D7178">
            <w:pPr>
              <w:jc w:val="center"/>
            </w:pPr>
            <w:r w:rsidRPr="008F4E9E">
              <w:t>8501.34.20;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Inversor de frequência híbrido</w:t>
            </w:r>
          </w:p>
        </w:tc>
        <w:tc>
          <w:tcPr>
            <w:tcW w:w="1275" w:type="dxa"/>
            <w:shd w:val="clear" w:color="000000" w:fill="FFFFFF"/>
            <w:noWrap/>
            <w:vAlign w:val="center"/>
            <w:hideMark/>
          </w:tcPr>
          <w:p w:rsidR="0033036A" w:rsidRPr="008F4E9E" w:rsidRDefault="0033036A" w:rsidP="007D7178">
            <w:pPr>
              <w:jc w:val="center"/>
            </w:pPr>
            <w:r w:rsidRPr="008F4E9E">
              <w:t>8504.40.29;</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Conversores de corrente </w:t>
            </w:r>
            <w:proofErr w:type="gramStart"/>
            <w:r w:rsidRPr="008F4E9E">
              <w:t>contínua - Inversores</w:t>
            </w:r>
            <w:proofErr w:type="gramEnd"/>
          </w:p>
        </w:tc>
        <w:tc>
          <w:tcPr>
            <w:tcW w:w="1275" w:type="dxa"/>
            <w:shd w:val="clear" w:color="000000" w:fill="FFFFFF"/>
            <w:noWrap/>
            <w:vAlign w:val="center"/>
            <w:hideMark/>
          </w:tcPr>
          <w:p w:rsidR="0033036A" w:rsidRPr="008F4E9E" w:rsidRDefault="0033036A" w:rsidP="007D7178">
            <w:pPr>
              <w:jc w:val="center"/>
            </w:pPr>
            <w:r w:rsidRPr="008F4E9E">
              <w:t>8504.40.30;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Inversores - Outros</w:t>
            </w:r>
          </w:p>
        </w:tc>
        <w:tc>
          <w:tcPr>
            <w:tcW w:w="1275" w:type="dxa"/>
            <w:shd w:val="clear" w:color="000000" w:fill="FFFFFF"/>
            <w:noWrap/>
            <w:vAlign w:val="center"/>
            <w:hideMark/>
          </w:tcPr>
          <w:p w:rsidR="0033036A" w:rsidRPr="008F4E9E" w:rsidRDefault="0033036A" w:rsidP="007D7178">
            <w:pPr>
              <w:jc w:val="center"/>
            </w:pPr>
            <w:r w:rsidRPr="008F4E9E">
              <w:t>8504.40.90;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XXIII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Conectores para sistemas FV - Outros</w:t>
            </w:r>
          </w:p>
        </w:tc>
        <w:tc>
          <w:tcPr>
            <w:tcW w:w="1275" w:type="dxa"/>
            <w:shd w:val="clear" w:color="000000" w:fill="FFFFFF"/>
            <w:noWrap/>
            <w:vAlign w:val="center"/>
            <w:hideMark/>
          </w:tcPr>
          <w:p w:rsidR="0033036A" w:rsidRPr="008F4E9E" w:rsidRDefault="0033036A" w:rsidP="007D7178">
            <w:pPr>
              <w:jc w:val="center"/>
            </w:pPr>
            <w:r w:rsidRPr="008F4E9E">
              <w:t>8536.69.90;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XXIV</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Conectores elétricos</w:t>
            </w:r>
          </w:p>
        </w:tc>
        <w:tc>
          <w:tcPr>
            <w:tcW w:w="1275" w:type="dxa"/>
            <w:shd w:val="clear" w:color="000000" w:fill="FFFFFF"/>
            <w:noWrap/>
            <w:vAlign w:val="center"/>
            <w:hideMark/>
          </w:tcPr>
          <w:p w:rsidR="0033036A" w:rsidRPr="008F4E9E" w:rsidRDefault="0033036A" w:rsidP="007D7178">
            <w:pPr>
              <w:jc w:val="center"/>
            </w:pPr>
            <w:r w:rsidRPr="008F4E9E">
              <w:t>8536.90.10;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XXV</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Conectores elétricos</w:t>
            </w:r>
          </w:p>
        </w:tc>
        <w:tc>
          <w:tcPr>
            <w:tcW w:w="1275" w:type="dxa"/>
            <w:shd w:val="clear" w:color="000000" w:fill="FFFFFF"/>
            <w:noWrap/>
            <w:vAlign w:val="center"/>
            <w:hideMark/>
          </w:tcPr>
          <w:p w:rsidR="0033036A" w:rsidRPr="008F4E9E" w:rsidRDefault="0033036A" w:rsidP="007D7178">
            <w:pPr>
              <w:jc w:val="center"/>
            </w:pPr>
            <w:r w:rsidRPr="008F4E9E">
              <w:t>8536.90.90;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XXVI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Quaisquer outros quadros para distribuição de energia elétrica até </w:t>
            </w:r>
            <w:proofErr w:type="gramStart"/>
            <w:r w:rsidRPr="008F4E9E">
              <w:t>1000V</w:t>
            </w:r>
            <w:proofErr w:type="gramEnd"/>
          </w:p>
        </w:tc>
        <w:tc>
          <w:tcPr>
            <w:tcW w:w="1275" w:type="dxa"/>
            <w:shd w:val="clear" w:color="000000" w:fill="FFFFFF"/>
            <w:noWrap/>
            <w:vAlign w:val="center"/>
            <w:hideMark/>
          </w:tcPr>
          <w:p w:rsidR="0033036A" w:rsidRPr="008F4E9E" w:rsidRDefault="0033036A" w:rsidP="007D7178">
            <w:pPr>
              <w:jc w:val="center"/>
            </w:pPr>
            <w:r w:rsidRPr="008F4E9E">
              <w:t>8537.10.90;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XXVII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 xml:space="preserve">Quaisquer outros quadros para distribuição de energia elétrica </w:t>
            </w:r>
            <w:r w:rsidRPr="008F4E9E">
              <w:lastRenderedPageBreak/>
              <w:t xml:space="preserve">superior a </w:t>
            </w:r>
            <w:proofErr w:type="gramStart"/>
            <w:r w:rsidRPr="008F4E9E">
              <w:t>1000V</w:t>
            </w:r>
            <w:proofErr w:type="gramEnd"/>
          </w:p>
        </w:tc>
        <w:tc>
          <w:tcPr>
            <w:tcW w:w="1275" w:type="dxa"/>
            <w:shd w:val="clear" w:color="000000" w:fill="FFFFFF"/>
            <w:noWrap/>
            <w:vAlign w:val="center"/>
            <w:hideMark/>
          </w:tcPr>
          <w:p w:rsidR="0033036A" w:rsidRPr="008F4E9E" w:rsidRDefault="0033036A" w:rsidP="007D7178">
            <w:pPr>
              <w:jc w:val="center"/>
            </w:pPr>
            <w:r w:rsidRPr="008F4E9E">
              <w:lastRenderedPageBreak/>
              <w:t>8537.20.90;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lastRenderedPageBreak/>
              <w:t>XXVIII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pPr>
              <w:rPr>
                <w:color w:val="000000"/>
              </w:rPr>
            </w:pPr>
            <w:r w:rsidRPr="008F4E9E">
              <w:rPr>
                <w:color w:val="000000"/>
              </w:rPr>
              <w:t>Módulos fotovoltaicos (células solares em módulos ou painéis)</w:t>
            </w:r>
          </w:p>
        </w:tc>
        <w:tc>
          <w:tcPr>
            <w:tcW w:w="1275" w:type="dxa"/>
            <w:shd w:val="clear" w:color="000000" w:fill="FFFFFF"/>
            <w:noWrap/>
            <w:vAlign w:val="center"/>
            <w:hideMark/>
          </w:tcPr>
          <w:p w:rsidR="0033036A" w:rsidRPr="008F4E9E" w:rsidRDefault="0033036A" w:rsidP="007D7178">
            <w:pPr>
              <w:jc w:val="center"/>
            </w:pPr>
            <w:r w:rsidRPr="008F4E9E">
              <w:t>8541.40.32;</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XXIX</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pPr>
              <w:rPr>
                <w:color w:val="000000"/>
              </w:rPr>
            </w:pPr>
            <w:r w:rsidRPr="008F4E9E">
              <w:rPr>
                <w:color w:val="000000"/>
              </w:rPr>
              <w:t>Outras células fotovoltaicas em módulos ou painéis</w:t>
            </w:r>
          </w:p>
        </w:tc>
        <w:tc>
          <w:tcPr>
            <w:tcW w:w="1275" w:type="dxa"/>
            <w:shd w:val="clear" w:color="000000" w:fill="FFFFFF"/>
            <w:noWrap/>
            <w:vAlign w:val="center"/>
            <w:hideMark/>
          </w:tcPr>
          <w:p w:rsidR="0033036A" w:rsidRPr="008F4E9E" w:rsidRDefault="0033036A" w:rsidP="007D7178">
            <w:pPr>
              <w:jc w:val="center"/>
            </w:pPr>
            <w:r w:rsidRPr="008F4E9E">
              <w:t>8541.40.39;</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XXX</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Cabos coaxiais e outros condutores elétricos coaxiais</w:t>
            </w:r>
          </w:p>
        </w:tc>
        <w:tc>
          <w:tcPr>
            <w:tcW w:w="1275" w:type="dxa"/>
            <w:shd w:val="clear" w:color="000000" w:fill="FFFFFF"/>
            <w:noWrap/>
            <w:vAlign w:val="center"/>
            <w:hideMark/>
          </w:tcPr>
          <w:p w:rsidR="0033036A" w:rsidRPr="008F4E9E" w:rsidRDefault="0033036A" w:rsidP="007D7178">
            <w:pPr>
              <w:jc w:val="center"/>
            </w:pPr>
            <w:r w:rsidRPr="008F4E9E">
              <w:t>8544.20.00;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XXXI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Cabos para tensão não superior a 1000 V com peças de conexão</w:t>
            </w:r>
          </w:p>
        </w:tc>
        <w:tc>
          <w:tcPr>
            <w:tcW w:w="1275" w:type="dxa"/>
            <w:shd w:val="clear" w:color="000000" w:fill="FFFFFF"/>
            <w:noWrap/>
            <w:vAlign w:val="center"/>
            <w:hideMark/>
          </w:tcPr>
          <w:p w:rsidR="0033036A" w:rsidRPr="008F4E9E" w:rsidRDefault="0033036A" w:rsidP="007D7178">
            <w:pPr>
              <w:jc w:val="center"/>
            </w:pPr>
            <w:r w:rsidRPr="008F4E9E">
              <w:t>8544.42.00;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XXXII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Cabos para tensão não superior a 1000 V sem peças de conexão</w:t>
            </w:r>
          </w:p>
        </w:tc>
        <w:tc>
          <w:tcPr>
            <w:tcW w:w="1275" w:type="dxa"/>
            <w:shd w:val="clear" w:color="000000" w:fill="FFFFFF"/>
            <w:noWrap/>
            <w:vAlign w:val="center"/>
            <w:hideMark/>
          </w:tcPr>
          <w:p w:rsidR="0033036A" w:rsidRPr="008F4E9E" w:rsidRDefault="0033036A" w:rsidP="007D7178">
            <w:pPr>
              <w:jc w:val="center"/>
            </w:pPr>
            <w:r w:rsidRPr="008F4E9E">
              <w:t>8544.49.00;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XXXIII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Outros cabos para tensão superior a 1000 V</w:t>
            </w:r>
          </w:p>
        </w:tc>
        <w:tc>
          <w:tcPr>
            <w:tcW w:w="1275" w:type="dxa"/>
            <w:shd w:val="clear" w:color="000000" w:fill="FFFFFF"/>
            <w:noWrap/>
            <w:vAlign w:val="center"/>
            <w:hideMark/>
          </w:tcPr>
          <w:p w:rsidR="0033036A" w:rsidRPr="008F4E9E" w:rsidRDefault="0033036A" w:rsidP="007D7178">
            <w:pPr>
              <w:jc w:val="center"/>
            </w:pPr>
            <w:r w:rsidRPr="008F4E9E">
              <w:t>8544.60.00;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XXXIV</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Outros instrumentos e aparelhos para medida e controle de líquido e etc.</w:t>
            </w:r>
          </w:p>
        </w:tc>
        <w:tc>
          <w:tcPr>
            <w:tcW w:w="1275" w:type="dxa"/>
            <w:shd w:val="clear" w:color="000000" w:fill="FFFFFF"/>
            <w:noWrap/>
            <w:vAlign w:val="center"/>
            <w:hideMark/>
          </w:tcPr>
          <w:p w:rsidR="0033036A" w:rsidRPr="008F4E9E" w:rsidRDefault="0033036A" w:rsidP="007D7178">
            <w:pPr>
              <w:jc w:val="center"/>
            </w:pPr>
            <w:r w:rsidRPr="008F4E9E">
              <w:t>9026.80.00;</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XXXV</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hideMark/>
          </w:tcPr>
          <w:p w:rsidR="0033036A" w:rsidRPr="008F4E9E" w:rsidRDefault="0033036A" w:rsidP="007D7178">
            <w:r w:rsidRPr="008F4E9E">
              <w:t xml:space="preserve">Outros instrumentos, aparelhos e </w:t>
            </w:r>
            <w:proofErr w:type="gramStart"/>
            <w:r w:rsidRPr="008F4E9E">
              <w:t>máquinas</w:t>
            </w:r>
            <w:proofErr w:type="gramEnd"/>
          </w:p>
        </w:tc>
        <w:tc>
          <w:tcPr>
            <w:tcW w:w="1275" w:type="dxa"/>
            <w:shd w:val="clear" w:color="000000" w:fill="FFFFFF"/>
            <w:noWrap/>
            <w:vAlign w:val="center"/>
            <w:hideMark/>
          </w:tcPr>
          <w:p w:rsidR="0033036A" w:rsidRPr="008F4E9E" w:rsidRDefault="0033036A" w:rsidP="007D7178">
            <w:pPr>
              <w:jc w:val="center"/>
            </w:pPr>
            <w:r w:rsidRPr="008F4E9E">
              <w:t>9031.80.99 e</w:t>
            </w:r>
          </w:p>
        </w:tc>
      </w:tr>
      <w:tr w:rsidR="0033036A" w:rsidRPr="008F4E9E" w:rsidTr="007D7178">
        <w:trPr>
          <w:trHeight w:val="300"/>
        </w:trPr>
        <w:tc>
          <w:tcPr>
            <w:tcW w:w="914" w:type="dxa"/>
            <w:shd w:val="clear" w:color="auto" w:fill="auto"/>
            <w:noWrap/>
            <w:hideMark/>
          </w:tcPr>
          <w:p w:rsidR="0033036A" w:rsidRPr="008F4E9E" w:rsidRDefault="0033036A" w:rsidP="007D7178">
            <w:pPr>
              <w:rPr>
                <w:color w:val="000000"/>
              </w:rPr>
            </w:pPr>
            <w:r w:rsidRPr="008F4E9E">
              <w:rPr>
                <w:color w:val="000000"/>
              </w:rPr>
              <w:t>XXXVI</w:t>
            </w:r>
          </w:p>
        </w:tc>
        <w:tc>
          <w:tcPr>
            <w:tcW w:w="220" w:type="dxa"/>
            <w:shd w:val="clear" w:color="auto" w:fill="auto"/>
            <w:noWrap/>
            <w:hideMark/>
          </w:tcPr>
          <w:p w:rsidR="0033036A" w:rsidRPr="008F4E9E" w:rsidRDefault="0033036A" w:rsidP="007D7178">
            <w:pPr>
              <w:jc w:val="center"/>
              <w:rPr>
                <w:color w:val="000000"/>
              </w:rPr>
            </w:pPr>
            <w:r w:rsidRPr="008F4E9E">
              <w:rPr>
                <w:color w:val="000000"/>
              </w:rPr>
              <w:t>-</w:t>
            </w:r>
          </w:p>
        </w:tc>
        <w:tc>
          <w:tcPr>
            <w:tcW w:w="6678" w:type="dxa"/>
            <w:shd w:val="clear" w:color="000000" w:fill="FFFFFF"/>
            <w:noWrap/>
            <w:vAlign w:val="bottom"/>
            <w:hideMark/>
          </w:tcPr>
          <w:p w:rsidR="0033036A" w:rsidRPr="008F4E9E" w:rsidRDefault="0033036A" w:rsidP="007D7178">
            <w:r w:rsidRPr="008F4E9E">
              <w:t>Outros instrumentos e aparelhos para regulação ou controle de grandezas não elétricas</w:t>
            </w:r>
          </w:p>
        </w:tc>
        <w:tc>
          <w:tcPr>
            <w:tcW w:w="1275" w:type="dxa"/>
            <w:shd w:val="clear" w:color="000000" w:fill="FFFFFF"/>
            <w:noWrap/>
            <w:vAlign w:val="center"/>
            <w:hideMark/>
          </w:tcPr>
          <w:p w:rsidR="0033036A" w:rsidRPr="008F4E9E" w:rsidRDefault="0033036A" w:rsidP="007D7178">
            <w:pPr>
              <w:jc w:val="center"/>
            </w:pPr>
            <w:r w:rsidRPr="008F4E9E">
              <w:t>9032.89.89.</w:t>
            </w:r>
          </w:p>
        </w:tc>
      </w:tr>
    </w:tbl>
    <w:p w:rsidR="0033036A" w:rsidRDefault="0033036A" w:rsidP="0033036A">
      <w:pPr>
        <w:pStyle w:val="A5-1TextoAcordo"/>
      </w:pPr>
      <w:r w:rsidRPr="008F4E9E">
        <w:rPr>
          <w:rFonts w:ascii="Times New Roman" w:hAnsi="Times New Roman" w:cs="Times New Roman"/>
          <w:sz w:val="24"/>
          <w:szCs w:val="24"/>
        </w:rPr>
        <w:t xml:space="preserve"> </w:t>
      </w:r>
      <w:r w:rsidR="00C216F8" w:rsidRPr="008F4E9E">
        <w:rPr>
          <w:rFonts w:ascii="Times New Roman" w:hAnsi="Times New Roman" w:cs="Times New Roman"/>
          <w:sz w:val="24"/>
          <w:szCs w:val="24"/>
        </w:rPr>
        <w:fldChar w:fldCharType="end"/>
      </w:r>
    </w:p>
    <w:p w:rsidR="0033036A" w:rsidRDefault="0033036A" w:rsidP="0033036A">
      <w:pPr>
        <w:pStyle w:val="05-Pargrafodetexto-CLG"/>
      </w:pPr>
      <w:r>
        <w:rPr>
          <w:b/>
        </w:rPr>
        <w:t xml:space="preserve">Art. 9º </w:t>
      </w:r>
      <w:r w:rsidRPr="002C48F9">
        <w:t xml:space="preserve">O </w:t>
      </w:r>
      <w:r w:rsidRPr="00D74CBE">
        <w:rPr>
          <w:i/>
        </w:rPr>
        <w:t>caput</w:t>
      </w:r>
      <w:r>
        <w:t xml:space="preserve"> do </w:t>
      </w:r>
      <w:r w:rsidRPr="002C48F9">
        <w:t xml:space="preserve">art. </w:t>
      </w:r>
      <w:r>
        <w:t>4</w:t>
      </w:r>
      <w:r w:rsidRPr="002C48F9">
        <w:t>º da Lei nº 1</w:t>
      </w:r>
      <w:r>
        <w:t>2</w:t>
      </w:r>
      <w:r w:rsidRPr="002C48F9">
        <w:t>.</w:t>
      </w:r>
      <w:r>
        <w:t>715</w:t>
      </w:r>
      <w:r w:rsidRPr="002C48F9">
        <w:t xml:space="preserve">, de </w:t>
      </w:r>
      <w:r>
        <w:t>17</w:t>
      </w:r>
      <w:r w:rsidRPr="002C48F9">
        <w:t xml:space="preserve"> de </w:t>
      </w:r>
      <w:r>
        <w:t>s</w:t>
      </w:r>
      <w:r w:rsidRPr="002C48F9">
        <w:t>e</w:t>
      </w:r>
      <w:r>
        <w:t>t</w:t>
      </w:r>
      <w:r w:rsidRPr="002C48F9">
        <w:t>embro de 20</w:t>
      </w:r>
      <w:r>
        <w:t>12</w:t>
      </w:r>
      <w:r w:rsidRPr="002C48F9">
        <w:t>, passa a vigorar com a seguinte redação:</w:t>
      </w:r>
    </w:p>
    <w:p w:rsidR="0033036A" w:rsidRDefault="0033036A" w:rsidP="0033036A">
      <w:pPr>
        <w:pStyle w:val="07-Citaolegal-CLG"/>
      </w:pPr>
      <w:r>
        <w:t>“Art. 4º</w:t>
      </w:r>
      <w:r w:rsidRPr="00D74CBE">
        <w:t xml:space="preserve"> A União facultará às pessoas físicas, a partir do ano-calendário de 2012 até o ano-calendário de 20</w:t>
      </w:r>
      <w:r>
        <w:t>20</w:t>
      </w:r>
      <w:r w:rsidRPr="00D74CBE">
        <w:t>, e às pessoas jurídicas, a partir do ano-calendário de 2013 até o ano-calendário de 20</w:t>
      </w:r>
      <w:r>
        <w:t>21</w:t>
      </w:r>
      <w:r w:rsidRPr="00D74CBE">
        <w:t>, na qualidade de incentivadoras, a opção de deduzirem do imposto sobre a renda os valores correspondentes às doações e aos patrocínios diretamente efetuados em prol de ações e serviços de que tratam os arts. 1</w:t>
      </w:r>
      <w:r>
        <w:t>º</w:t>
      </w:r>
      <w:r w:rsidRPr="00D74CBE">
        <w:t xml:space="preserve"> a 3</w:t>
      </w:r>
      <w:r>
        <w:t>º</w:t>
      </w:r>
      <w:r w:rsidRPr="00D74CBE">
        <w:t>, previamente aprovados pelo Ministério da Saúde e desenvolvidos pelas instituições destinatárias a que se referem os arts. 2</w:t>
      </w:r>
      <w:r>
        <w:t>º</w:t>
      </w:r>
      <w:r w:rsidRPr="00D74CBE">
        <w:t xml:space="preserve"> e 3</w:t>
      </w:r>
      <w:r>
        <w:t>º.</w:t>
      </w:r>
    </w:p>
    <w:p w:rsidR="0033036A" w:rsidRDefault="0033036A" w:rsidP="0033036A">
      <w:pPr>
        <w:pStyle w:val="08-Citaolegal-ltimalinha-CLG"/>
      </w:pPr>
      <w:r>
        <w:t>................................................................................” (NR)</w:t>
      </w:r>
    </w:p>
    <w:p w:rsidR="0033036A" w:rsidRDefault="0033036A" w:rsidP="0033036A">
      <w:pPr>
        <w:pStyle w:val="05-Pargrafodetexto-CLG"/>
      </w:pPr>
      <w:r w:rsidRPr="00DF5ED1">
        <w:rPr>
          <w:b/>
        </w:rPr>
        <w:t xml:space="preserve">Art. </w:t>
      </w:r>
      <w:r>
        <w:rPr>
          <w:b/>
        </w:rPr>
        <w:t>10.</w:t>
      </w:r>
      <w:r>
        <w:t xml:space="preserve"> A Lei nº 9.249, de 26 de dezembro de 1995, passa a vigorar com a seguinte alteração:</w:t>
      </w:r>
    </w:p>
    <w:p w:rsidR="0033036A" w:rsidRDefault="0033036A" w:rsidP="0033036A">
      <w:pPr>
        <w:pStyle w:val="08-Citaolegal-ltimalinha-CLG"/>
        <w:spacing w:after="0"/>
      </w:pPr>
      <w:r>
        <w:t>“Art. 13-A. Nas sociedades cooperativas, são dedutíveis, para efeito de apuração do resultado das aplicações financeiras e incidência do Imposto de Renda da Pessoa Jurídica e da Contribuição Social sobre o Lucro Líquido, as despesas financeiras dos empréstimos e financiamentos incorridas.</w:t>
      </w:r>
    </w:p>
    <w:p w:rsidR="0033036A" w:rsidRDefault="0033036A" w:rsidP="0033036A">
      <w:pPr>
        <w:pStyle w:val="08-Citaolegal-ltimalinha-CLG"/>
        <w:spacing w:after="0"/>
      </w:pPr>
    </w:p>
    <w:p w:rsidR="0033036A" w:rsidRDefault="0033036A" w:rsidP="0033036A">
      <w:pPr>
        <w:pStyle w:val="08-Citaolegal-ltimalinha-CLG"/>
        <w:spacing w:after="0"/>
        <w:rPr>
          <w:rFonts w:eastAsia="Calibri"/>
          <w:bCs/>
          <w:iCs/>
          <w:color w:val="000000"/>
          <w:szCs w:val="24"/>
        </w:rPr>
      </w:pPr>
      <w:r w:rsidRPr="00A723A4">
        <w:rPr>
          <w:rFonts w:eastAsia="Calibri"/>
          <w:bCs/>
          <w:iCs/>
          <w:color w:val="000000"/>
          <w:szCs w:val="24"/>
        </w:rPr>
        <w:t>Parágrafo único. Nas sociedades cooperativas de crédito, os ingressos auferidos em aplicações financeiras realizadas no mercado financeiro não estão sujeitos à incidência do IRPJ, CSLL, PIS</w:t>
      </w:r>
      <w:r w:rsidR="007D7178">
        <w:rPr>
          <w:rFonts w:eastAsia="Calibri"/>
          <w:bCs/>
          <w:iCs/>
          <w:color w:val="000000"/>
          <w:szCs w:val="24"/>
        </w:rPr>
        <w:t>/Pasep</w:t>
      </w:r>
      <w:r w:rsidRPr="00A723A4">
        <w:rPr>
          <w:rFonts w:eastAsia="Calibri"/>
          <w:bCs/>
          <w:iCs/>
          <w:color w:val="000000"/>
          <w:szCs w:val="24"/>
        </w:rPr>
        <w:t xml:space="preserve"> e COFINS.”</w:t>
      </w:r>
    </w:p>
    <w:p w:rsidR="0033036A" w:rsidRDefault="0033036A" w:rsidP="0033036A">
      <w:pPr>
        <w:pStyle w:val="08-Citaolegal-ltimalinha-CLG"/>
        <w:spacing w:after="0"/>
        <w:rPr>
          <w:szCs w:val="24"/>
        </w:rPr>
      </w:pPr>
    </w:p>
    <w:p w:rsidR="0033036A" w:rsidRPr="00A723A4" w:rsidRDefault="0033036A" w:rsidP="0033036A">
      <w:pPr>
        <w:pStyle w:val="08-Citaolegal-ltimalinha-CLG"/>
        <w:spacing w:after="0"/>
        <w:rPr>
          <w:szCs w:val="24"/>
        </w:rPr>
      </w:pPr>
    </w:p>
    <w:p w:rsidR="0033036A" w:rsidRDefault="0033036A" w:rsidP="0033036A">
      <w:pPr>
        <w:pStyle w:val="05-Pargrafodetexto-CLG"/>
      </w:pPr>
      <w:r w:rsidRPr="00DF5ED1">
        <w:rPr>
          <w:b/>
        </w:rPr>
        <w:lastRenderedPageBreak/>
        <w:t xml:space="preserve">Art. </w:t>
      </w:r>
      <w:r>
        <w:rPr>
          <w:b/>
        </w:rPr>
        <w:t>11.</w:t>
      </w:r>
      <w:r>
        <w:t xml:space="preserve"> A Lei nº 11.484, de 31 de maio de 2007, passa a vigorar com as seguinte alteração:</w:t>
      </w:r>
    </w:p>
    <w:p w:rsidR="0033036A" w:rsidRDefault="0033036A" w:rsidP="0033036A">
      <w:pPr>
        <w:pStyle w:val="07-Citaolegal-CLG"/>
      </w:pPr>
      <w:r>
        <w:t>“Art. 5º .....................................................................................</w:t>
      </w:r>
    </w:p>
    <w:p w:rsidR="0033036A" w:rsidRDefault="0033036A" w:rsidP="0033036A">
      <w:pPr>
        <w:pStyle w:val="07-Citaolegal-CLG"/>
      </w:pPr>
      <w:r>
        <w:t>...................................................................................................</w:t>
      </w:r>
    </w:p>
    <w:p w:rsidR="0033036A" w:rsidRDefault="0033036A" w:rsidP="0033036A">
      <w:pPr>
        <w:pStyle w:val="07-Citaolegal-CLG"/>
      </w:pPr>
      <w:r>
        <w:t>§ 2º. Os projetos poderão ser apresentados até 31 de julho de 2020.</w:t>
      </w:r>
    </w:p>
    <w:p w:rsidR="0033036A" w:rsidRDefault="0033036A" w:rsidP="0033036A">
      <w:pPr>
        <w:pStyle w:val="07-Citaolegal-CLG"/>
        <w:spacing w:after="480"/>
      </w:pPr>
      <w:r>
        <w:t>............................................................................................” (NR)</w:t>
      </w:r>
    </w:p>
    <w:p w:rsidR="0033036A" w:rsidRDefault="0033036A" w:rsidP="0033036A">
      <w:pPr>
        <w:pStyle w:val="05-Pargrafodetexto-CLG"/>
      </w:pPr>
      <w:r>
        <w:rPr>
          <w:b/>
        </w:rPr>
        <w:t>Art. 12</w:t>
      </w:r>
      <w:r w:rsidR="007D7178">
        <w:rPr>
          <w:b/>
        </w:rPr>
        <w:t>.</w:t>
      </w:r>
      <w:r>
        <w:rPr>
          <w:b/>
        </w:rPr>
        <w:t xml:space="preserve"> </w:t>
      </w:r>
      <w:r>
        <w:t>A Lei nº 9.491, de 9 de setembro de 1997, passa a vigorar com as seguintes alterações:</w:t>
      </w:r>
    </w:p>
    <w:p w:rsidR="0033036A" w:rsidRPr="00413D13" w:rsidRDefault="0033036A" w:rsidP="0033036A">
      <w:pPr>
        <w:pStyle w:val="07-Citaolegal-CLG"/>
      </w:pPr>
      <w:r w:rsidRPr="00413D13">
        <w:t>“Art. 6º ..................................................................................</w:t>
      </w:r>
      <w:r>
        <w:t>.</w:t>
      </w:r>
    </w:p>
    <w:p w:rsidR="0033036A" w:rsidRPr="00413D13" w:rsidRDefault="0033036A" w:rsidP="0033036A">
      <w:pPr>
        <w:pStyle w:val="07-Citaolegal-CLG"/>
      </w:pPr>
      <w:r w:rsidRPr="00413D13">
        <w:t>...............................................................................................</w:t>
      </w:r>
    </w:p>
    <w:p w:rsidR="0033036A" w:rsidRDefault="0033036A" w:rsidP="0033036A">
      <w:pPr>
        <w:pStyle w:val="07-Citaolegal-CLG"/>
      </w:pPr>
      <w:r>
        <w:t>§ 10. Fica a Agência Nacional de Energia Elétrica - ANEEL autorizada a anuir com a repactuação, que venha a gerar benefícios potenciais à prestação do serviço público de distribuição de energia, de dívidas setoriais em moeda estrangeira, das empresas incluídas no Programa Nacional de Desestatização – PND a partir de 2015, para que seja convertida em moeda nacional, com remuneração mensal pela variação da taxa do Sistema Especial de Liquidação e de Custódia – SELIC e prazo máximo de 120 meses considerando períodos de carência e de amortização.</w:t>
      </w:r>
    </w:p>
    <w:p w:rsidR="0033036A" w:rsidRPr="00413D13" w:rsidRDefault="0033036A" w:rsidP="0033036A">
      <w:pPr>
        <w:pStyle w:val="06-Citaolegal-linhafinal-CLG"/>
      </w:pPr>
      <w:r>
        <w:t>§ 11 Será considerado como data base da repactuação, de que trata o § 10, o primeiro dia útil do ano em que se deu a inclusão da empresa no PND.” (NR)</w:t>
      </w:r>
    </w:p>
    <w:p w:rsidR="0033036A" w:rsidRDefault="0033036A" w:rsidP="0033036A">
      <w:pPr>
        <w:pStyle w:val="05-Pargrafodetexto-CLG"/>
      </w:pPr>
      <w:r>
        <w:rPr>
          <w:b/>
        </w:rPr>
        <w:t>Art. 13</w:t>
      </w:r>
      <w:r w:rsidR="007D7178">
        <w:rPr>
          <w:b/>
        </w:rPr>
        <w:t>.</w:t>
      </w:r>
      <w:r>
        <w:rPr>
          <w:b/>
        </w:rPr>
        <w:t xml:space="preserve"> </w:t>
      </w:r>
      <w:r>
        <w:t>A Lei nº 12.973, de 13 de maio de 2014, passa a vigorar com as seguintes alterações:</w:t>
      </w:r>
    </w:p>
    <w:p w:rsidR="0033036A" w:rsidRDefault="0033036A" w:rsidP="0033036A">
      <w:pPr>
        <w:pStyle w:val="07-Citaolegal-CLG"/>
      </w:pPr>
      <w:proofErr w:type="gramStart"/>
      <w:r w:rsidRPr="00413D13">
        <w:t>“Art.</w:t>
      </w:r>
      <w:r>
        <w:t xml:space="preserve"> 109</w:t>
      </w:r>
      <w:r w:rsidR="007D7178">
        <w:t>.</w:t>
      </w:r>
      <w:proofErr w:type="gramEnd"/>
      <w:r>
        <w:t xml:space="preserve"> As pessoas jurídicas que se encontrem inativas desde o ano</w:t>
      </w:r>
      <w:r w:rsidR="007D7178">
        <w:t>-</w:t>
      </w:r>
      <w:r>
        <w:t xml:space="preserve">calendário </w:t>
      </w:r>
      <w:r w:rsidR="007D7178">
        <w:t xml:space="preserve">de </w:t>
      </w:r>
      <w:r>
        <w:t xml:space="preserve">2009 ou que estejam em regime de liquidação ordinária, judicial ou extrajudicial, ou em regime de falência, poderão apurar o imposto de renda e a CSLL sem a aplicação dos limites previstos nos arts. 15 e 16 da Lei nº 9.065, de 20 de janeiro de 1995, durante o período em que estiverem no referido regime. </w:t>
      </w:r>
    </w:p>
    <w:p w:rsidR="0033036A" w:rsidRDefault="0033036A" w:rsidP="0033036A">
      <w:pPr>
        <w:pStyle w:val="07-Citaolegal-CLG"/>
      </w:pPr>
      <w:r>
        <w:t>§ 1º A aplicação do disposto no caput se restringirá à apuração do imposto de renda e CSLL sobre as seguintes operações:</w:t>
      </w:r>
    </w:p>
    <w:p w:rsidR="0033036A" w:rsidRDefault="0033036A" w:rsidP="0033036A">
      <w:pPr>
        <w:pStyle w:val="07-Citaolegal-CLG"/>
      </w:pPr>
      <w:r>
        <w:t>I – ganho de capital resultante da alienação de bens ou direitos ou qualquer ato que enseje a realização de ganho de capital;</w:t>
      </w:r>
    </w:p>
    <w:p w:rsidR="0033036A" w:rsidRDefault="0033036A" w:rsidP="0033036A">
      <w:pPr>
        <w:pStyle w:val="07-Citaolegal-CLG"/>
      </w:pPr>
      <w:r>
        <w:lastRenderedPageBreak/>
        <w:t>II – reversão de provisões;</w:t>
      </w:r>
    </w:p>
    <w:p w:rsidR="0033036A" w:rsidRDefault="0033036A" w:rsidP="0033036A">
      <w:pPr>
        <w:pStyle w:val="07-Citaolegal-CLG"/>
      </w:pPr>
      <w:r>
        <w:t>III – resultado de aplicação de saldos de caixa;</w:t>
      </w:r>
    </w:p>
    <w:p w:rsidR="0033036A" w:rsidRDefault="0033036A" w:rsidP="0033036A">
      <w:pPr>
        <w:pStyle w:val="07-Citaolegal-CLG"/>
      </w:pPr>
      <w:r>
        <w:t>IV – rendimentos auferidos sobre os ativos existentes.</w:t>
      </w:r>
    </w:p>
    <w:p w:rsidR="0033036A" w:rsidRDefault="0033036A" w:rsidP="0033036A">
      <w:pPr>
        <w:pStyle w:val="06-Citaolegal-linhafinal-CLG"/>
      </w:pPr>
      <w:r>
        <w:t>§ 2º Caso o regime previsto no caput seja cessado a partir de 1º de janeiro de 2017, os prejuízos fiscais apurados até 31 de dezembro de 2016 não sofreram a aplicação dos limites desde que sua utilização não ultrapasse o ano calendário de 2020. ” (NR)</w:t>
      </w:r>
    </w:p>
    <w:p w:rsidR="0033036A" w:rsidRDefault="0033036A" w:rsidP="0033036A">
      <w:pPr>
        <w:pStyle w:val="05-Pargrafodetexto-CLG"/>
      </w:pPr>
      <w:r>
        <w:rPr>
          <w:b/>
        </w:rPr>
        <w:t>Art. 14</w:t>
      </w:r>
      <w:r w:rsidR="007D7178">
        <w:rPr>
          <w:b/>
        </w:rPr>
        <w:t>.</w:t>
      </w:r>
      <w:r>
        <w:rPr>
          <w:b/>
        </w:rPr>
        <w:t xml:space="preserve"> </w:t>
      </w:r>
      <w:r>
        <w:t>A Lei nº 10.150, de 21 de dezembro de 2000, passa a vigorar com a seguinte alteração:</w:t>
      </w:r>
    </w:p>
    <w:p w:rsidR="0033036A" w:rsidRDefault="0033036A" w:rsidP="0033036A">
      <w:pPr>
        <w:pStyle w:val="07-Citaolegal-CLG"/>
      </w:pPr>
      <w:r w:rsidRPr="00413D13">
        <w:t>“Art.</w:t>
      </w:r>
      <w:r>
        <w:t xml:space="preserve"> 3º ..........................................................................................</w:t>
      </w:r>
    </w:p>
    <w:p w:rsidR="0033036A" w:rsidRDefault="0033036A" w:rsidP="0033036A">
      <w:pPr>
        <w:pStyle w:val="07-Citaolegal-CLG"/>
      </w:pPr>
      <w:r>
        <w:t xml:space="preserve">....................................................................................................... </w:t>
      </w:r>
    </w:p>
    <w:p w:rsidR="0033036A" w:rsidRDefault="0033036A" w:rsidP="0033036A">
      <w:pPr>
        <w:pStyle w:val="07-Citaolegal-CLG"/>
      </w:pPr>
      <w:r>
        <w:t xml:space="preserve">§ 16. Caso na instrução do processo de novação de créditos não seja demonstrado o pagamento dos débitos de que tratam o inciso I do </w:t>
      </w:r>
      <w:r w:rsidRPr="00B32CD8">
        <w:rPr>
          <w:i/>
        </w:rPr>
        <w:t>caput</w:t>
      </w:r>
      <w:r>
        <w:t xml:space="preserve"> </w:t>
      </w:r>
      <w:r w:rsidRPr="00B32CD8">
        <w:t xml:space="preserve">e os </w:t>
      </w:r>
      <w:r>
        <w:t>§§ 14 e 15 deste artigo, o processo não será interrompido se as instituições financeiras cedentes em regular funcionamento firmem declaração de responsabilidade quanto a estes débitos, autorizando o débito automático dos valores estimados na reserva bancária da instituição financeiras e a transferência imediata para o Tesouro Nacional, exceto se, no prazo de 9 (nove) meses, conseguir comprovar o pagamento dos referidos débitos.”</w:t>
      </w:r>
      <w:r w:rsidR="007D7178">
        <w:t xml:space="preserve"> (NR)</w:t>
      </w:r>
      <w:r>
        <w:t xml:space="preserve"> </w:t>
      </w:r>
    </w:p>
    <w:p w:rsidR="0033036A" w:rsidRPr="00413D13" w:rsidRDefault="0033036A" w:rsidP="0033036A">
      <w:pPr>
        <w:pStyle w:val="07-Citaolegal-CLG"/>
      </w:pPr>
    </w:p>
    <w:p w:rsidR="0033036A" w:rsidRDefault="0033036A" w:rsidP="0033036A">
      <w:pPr>
        <w:pStyle w:val="05-Pargrafodetexto-CLG"/>
      </w:pPr>
      <w:r>
        <w:rPr>
          <w:b/>
        </w:rPr>
        <w:t>Art. 15</w:t>
      </w:r>
      <w:r w:rsidR="007D7178">
        <w:rPr>
          <w:b/>
        </w:rPr>
        <w:t>.</w:t>
      </w:r>
      <w:r>
        <w:rPr>
          <w:b/>
        </w:rPr>
        <w:t xml:space="preserve"> </w:t>
      </w:r>
      <w:r>
        <w:t>A Lei nº 10.865, de 30 de abril de 2004, passa a vigorar com a seguinte alteração:</w:t>
      </w:r>
    </w:p>
    <w:p w:rsidR="0033036A" w:rsidRDefault="0033036A" w:rsidP="0033036A">
      <w:pPr>
        <w:pStyle w:val="07-Citaolegal-CLG"/>
      </w:pPr>
      <w:r w:rsidRPr="00413D13">
        <w:t>“Art.</w:t>
      </w:r>
      <w:r>
        <w:t xml:space="preserve"> 8º ..........................................................................................</w:t>
      </w:r>
    </w:p>
    <w:p w:rsidR="0033036A" w:rsidRDefault="0033036A" w:rsidP="0033036A">
      <w:pPr>
        <w:pStyle w:val="07-Citaolegal-CLG"/>
      </w:pPr>
      <w:r>
        <w:t xml:space="preserve">....................................................................................................... </w:t>
      </w:r>
    </w:p>
    <w:p w:rsidR="0033036A" w:rsidRDefault="0033036A" w:rsidP="0033036A">
      <w:pPr>
        <w:pStyle w:val="07-Citaolegal-CLG"/>
      </w:pPr>
      <w:r>
        <w:t>§ 12. .............................................................................................</w:t>
      </w:r>
    </w:p>
    <w:p w:rsidR="0033036A" w:rsidRDefault="0033036A" w:rsidP="0033036A">
      <w:pPr>
        <w:pStyle w:val="07-Citaolegal-CLG"/>
      </w:pPr>
      <w:r>
        <w:t>......................................................................................................</w:t>
      </w:r>
    </w:p>
    <w:p w:rsidR="0033036A" w:rsidRDefault="0033036A" w:rsidP="0033036A">
      <w:pPr>
        <w:pStyle w:val="07-Citaolegal-CLG"/>
      </w:pPr>
      <w:r>
        <w:t>XL - produtos classificados no Ex 01 do código 8503.00.90 da Tipi, exceto pás eólicas.</w:t>
      </w:r>
    </w:p>
    <w:p w:rsidR="0033036A" w:rsidRDefault="0033036A" w:rsidP="0033036A">
      <w:pPr>
        <w:pStyle w:val="07-Citaolegal-CLG"/>
      </w:pPr>
      <w:proofErr w:type="gramStart"/>
      <w:r>
        <w:t>..........................................................................................</w:t>
      </w:r>
      <w:proofErr w:type="gramEnd"/>
      <w:r w:rsidR="007D7178">
        <w:t xml:space="preserve"> </w:t>
      </w:r>
      <w:proofErr w:type="gramStart"/>
      <w:r w:rsidR="007D7178">
        <w:t xml:space="preserve">“ </w:t>
      </w:r>
      <w:proofErr w:type="gramEnd"/>
      <w:r w:rsidR="007D7178">
        <w:t>(NR)</w:t>
      </w:r>
    </w:p>
    <w:p w:rsidR="0033036A" w:rsidRDefault="007D7178" w:rsidP="0033036A">
      <w:pPr>
        <w:pStyle w:val="07-Citaolegal-CLG"/>
      </w:pPr>
      <w:r>
        <w:t>“</w:t>
      </w:r>
      <w:r w:rsidR="0033036A">
        <w:t>Art. 28 ........................................................................................</w:t>
      </w:r>
    </w:p>
    <w:p w:rsidR="0033036A" w:rsidRDefault="0033036A" w:rsidP="0033036A">
      <w:pPr>
        <w:pStyle w:val="07-Citaolegal-CLG"/>
      </w:pPr>
      <w:r>
        <w:t>.....................................................................................................</w:t>
      </w:r>
    </w:p>
    <w:p w:rsidR="0033036A" w:rsidRDefault="0033036A" w:rsidP="0033036A">
      <w:pPr>
        <w:pStyle w:val="07-Citaolegal-CLG"/>
        <w:rPr>
          <w:szCs w:val="24"/>
        </w:rPr>
      </w:pPr>
      <w:r>
        <w:t>XXX</w:t>
      </w:r>
      <w:r w:rsidRPr="006E739B">
        <w:rPr>
          <w:szCs w:val="24"/>
        </w:rPr>
        <w:t>VII - produtos classificados no Ex 01 do código 8503.00.90 da T</w:t>
      </w:r>
      <w:r>
        <w:rPr>
          <w:szCs w:val="24"/>
        </w:rPr>
        <w:t>ipi</w:t>
      </w:r>
      <w:r w:rsidRPr="006E739B">
        <w:rPr>
          <w:szCs w:val="24"/>
        </w:rPr>
        <w:t>, exceto</w:t>
      </w:r>
      <w:r>
        <w:rPr>
          <w:szCs w:val="24"/>
        </w:rPr>
        <w:t xml:space="preserve"> pás eólicas.</w:t>
      </w:r>
    </w:p>
    <w:p w:rsidR="0033036A" w:rsidRDefault="0033036A" w:rsidP="0033036A">
      <w:pPr>
        <w:pStyle w:val="07-Citaolegal-CLG"/>
      </w:pPr>
      <w:r>
        <w:rPr>
          <w:szCs w:val="24"/>
        </w:rPr>
        <w:t>............................................................................................</w:t>
      </w:r>
      <w:r>
        <w:t xml:space="preserve">” (NR) </w:t>
      </w:r>
    </w:p>
    <w:p w:rsidR="0033036A" w:rsidRDefault="0033036A" w:rsidP="0033036A">
      <w:pPr>
        <w:pStyle w:val="07-Citaolegal-CLG"/>
      </w:pPr>
    </w:p>
    <w:p w:rsidR="0033036A" w:rsidRDefault="0033036A" w:rsidP="0033036A">
      <w:pPr>
        <w:pStyle w:val="05-Pargrafodetexto-CLG"/>
      </w:pPr>
      <w:r>
        <w:rPr>
          <w:b/>
        </w:rPr>
        <w:t>Art. 16</w:t>
      </w:r>
      <w:r w:rsidR="007D7178">
        <w:rPr>
          <w:b/>
        </w:rPr>
        <w:t>.</w:t>
      </w:r>
      <w:r>
        <w:rPr>
          <w:b/>
        </w:rPr>
        <w:t xml:space="preserve"> </w:t>
      </w:r>
      <w:r>
        <w:t>Fica reaberto por 15 (quinze) dias, contados a partir da publicação desta Lei, o prazo para adesão ao Programa de Estímulo à Reestruturação e ao Fortalecimento das Instituições de Ensino Superior (PROIES), de que trata a Lei nº 12.989, de 6 de junho de 2014, às instituições de ensino superior integrantes do sistema federal de ensino para requerer, por intermédio de suas mantenedoras, a adesão ao referido sistema.</w:t>
      </w:r>
    </w:p>
    <w:p w:rsidR="0033036A" w:rsidRDefault="0033036A" w:rsidP="0033036A">
      <w:pPr>
        <w:pStyle w:val="05-Pargrafodetexto-CLG"/>
      </w:pPr>
      <w:r w:rsidRPr="0006296F">
        <w:rPr>
          <w:b/>
        </w:rPr>
        <w:t xml:space="preserve">Art. </w:t>
      </w:r>
      <w:r>
        <w:rPr>
          <w:b/>
        </w:rPr>
        <w:t>17</w:t>
      </w:r>
      <w:r w:rsidRPr="0044375B">
        <w:rPr>
          <w:b/>
        </w:rPr>
        <w:t>.</w:t>
      </w:r>
      <w:r>
        <w:t xml:space="preserve"> Esta Lei entra em vigor na data de sua publicação, produzindo efeitos:</w:t>
      </w:r>
    </w:p>
    <w:p w:rsidR="0033036A" w:rsidRDefault="0033036A" w:rsidP="0033036A">
      <w:pPr>
        <w:pStyle w:val="05-Pargrafodetexto-CLG"/>
      </w:pPr>
      <w:r>
        <w:t>I – a partir do primeiro dia do quarto mês subsequente ao da publicação da Medida Provisória nº 675, de 21 de maio de 2015, em relação à nova redação dada aos incisos I e III do art. 3º da Lei nº 7.689, de 15 de dezembro de 1988, conforme art. 1º desta Lei;</w:t>
      </w:r>
    </w:p>
    <w:p w:rsidR="0033036A" w:rsidRDefault="0033036A" w:rsidP="0033036A">
      <w:pPr>
        <w:pStyle w:val="05-Pargrafodetexto-CLG"/>
      </w:pPr>
      <w:r>
        <w:t>II – a partir do primeiro dia do quarto mês subsequente ao de sua publicação, em relação ao art. 15 desta Lei; e</w:t>
      </w:r>
    </w:p>
    <w:p w:rsidR="0033036A" w:rsidRDefault="0033036A" w:rsidP="0033036A">
      <w:pPr>
        <w:pStyle w:val="05-Pargrafodetexto-CLG"/>
      </w:pPr>
      <w:r>
        <w:t>III – a partir da data de publicação desta Lei, em relação aos demais dispositivos.</w:t>
      </w:r>
    </w:p>
    <w:p w:rsidR="0033036A" w:rsidRDefault="0033036A" w:rsidP="0033036A">
      <w:pPr>
        <w:pStyle w:val="05-Pargrafodetexto-CLG"/>
      </w:pPr>
      <w:r w:rsidRPr="0006296F">
        <w:rPr>
          <w:b/>
        </w:rPr>
        <w:t xml:space="preserve">Art. </w:t>
      </w:r>
      <w:r>
        <w:rPr>
          <w:b/>
        </w:rPr>
        <w:t>18</w:t>
      </w:r>
      <w:r w:rsidRPr="0044375B">
        <w:rPr>
          <w:b/>
        </w:rPr>
        <w:t>.</w:t>
      </w:r>
      <w:r>
        <w:t xml:space="preserve"> Fica revogado o parágrafo único do art. 6º da Lei nº 9.986, de 18 de julho de 2000.</w:t>
      </w:r>
    </w:p>
    <w:p w:rsidR="0033036A" w:rsidRDefault="0033036A" w:rsidP="0033036A">
      <w:pPr>
        <w:pStyle w:val="10-Local-CLG"/>
      </w:pPr>
      <w:r>
        <w:t>Sala da Comissão,</w:t>
      </w:r>
    </w:p>
    <w:p w:rsidR="0033036A" w:rsidRDefault="0033036A" w:rsidP="0033036A">
      <w:pPr>
        <w:pStyle w:val="11-Assinaturas-CLG"/>
      </w:pPr>
      <w:r>
        <w:t>, Presidente</w:t>
      </w:r>
    </w:p>
    <w:p w:rsidR="0033036A" w:rsidRDefault="0033036A" w:rsidP="0033036A">
      <w:pPr>
        <w:pStyle w:val="11-Assinaturas-CLG"/>
      </w:pPr>
      <w:r>
        <w:t>, Relatora</w:t>
      </w:r>
    </w:p>
    <w:p w:rsidR="000147A2" w:rsidRDefault="000147A2" w:rsidP="006D2567">
      <w:pPr>
        <w:pStyle w:val="SemEspaamento"/>
      </w:pPr>
    </w:p>
    <w:sectPr w:rsidR="000147A2" w:rsidSect="0076797B">
      <w:headerReference w:type="even" r:id="rId8"/>
      <w:headerReference w:type="default" r:id="rId9"/>
      <w:footerReference w:type="default" r:id="rId10"/>
      <w:headerReference w:type="first" r:id="rId11"/>
      <w:footerReference w:type="first" r:id="rId12"/>
      <w:pgSz w:w="11906" w:h="16838"/>
      <w:pgMar w:top="1418" w:right="1701"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178" w:rsidRDefault="007D7178" w:rsidP="00863433">
      <w:r>
        <w:separator/>
      </w:r>
    </w:p>
  </w:endnote>
  <w:endnote w:type="continuationSeparator" w:id="0">
    <w:p w:rsidR="007D7178" w:rsidRDefault="007D7178" w:rsidP="008634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68399"/>
      <w:docPartObj>
        <w:docPartGallery w:val="Page Numbers (Bottom of Page)"/>
        <w:docPartUnique/>
      </w:docPartObj>
    </w:sdtPr>
    <w:sdtContent>
      <w:p w:rsidR="00985D1E" w:rsidRDefault="00C216F8">
        <w:pPr>
          <w:pStyle w:val="Rodap"/>
          <w:jc w:val="right"/>
        </w:pPr>
        <w:fldSimple w:instr=" PAGE   \* MERGEFORMAT ">
          <w:r w:rsidR="00AA31B6">
            <w:rPr>
              <w:noProof/>
            </w:rPr>
            <w:t>10</w:t>
          </w:r>
        </w:fldSimple>
      </w:p>
    </w:sdtContent>
  </w:sdt>
  <w:p w:rsidR="00985D1E" w:rsidRDefault="00985D1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178" w:rsidRPr="00342E7D" w:rsidRDefault="007D7178" w:rsidP="0006746F">
    <w:pPr>
      <w:pStyle w:val="Rodap"/>
      <w:rPr>
        <w:i/>
        <w:sz w:val="18"/>
        <w:szCs w:val="18"/>
      </w:rPr>
    </w:pPr>
    <w:r w:rsidRPr="00342E7D">
      <w:rPr>
        <w:i/>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178" w:rsidRDefault="007D7178" w:rsidP="00863433">
      <w:r>
        <w:separator/>
      </w:r>
    </w:p>
  </w:footnote>
  <w:footnote w:type="continuationSeparator" w:id="0">
    <w:p w:rsidR="007D7178" w:rsidRDefault="007D7178" w:rsidP="008634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178" w:rsidRDefault="00C216F8" w:rsidP="0006746F">
    <w:pPr>
      <w:pStyle w:val="Cabealho"/>
      <w:framePr w:wrap="around" w:vAnchor="text" w:hAnchor="margin" w:xAlign="right" w:y="1"/>
      <w:rPr>
        <w:rStyle w:val="Nmerodepgina"/>
      </w:rPr>
    </w:pPr>
    <w:r>
      <w:rPr>
        <w:rStyle w:val="Nmerodepgina"/>
      </w:rPr>
      <w:fldChar w:fldCharType="begin"/>
    </w:r>
    <w:r w:rsidR="007D7178">
      <w:rPr>
        <w:rStyle w:val="Nmerodepgina"/>
      </w:rPr>
      <w:instrText xml:space="preserve">PAGE  </w:instrText>
    </w:r>
    <w:r>
      <w:rPr>
        <w:rStyle w:val="Nmerodepgina"/>
      </w:rPr>
      <w:fldChar w:fldCharType="end"/>
    </w:r>
  </w:p>
  <w:p w:rsidR="007D7178" w:rsidRDefault="007D7178" w:rsidP="0006746F">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6FB" w:rsidRDefault="003306FB">
    <w:pPr>
      <w:pStyle w:val="Cabealho"/>
    </w:pPr>
  </w:p>
  <w:tbl>
    <w:tblPr>
      <w:tblW w:w="0" w:type="auto"/>
      <w:tblInd w:w="137" w:type="dxa"/>
      <w:tblLayout w:type="fixed"/>
      <w:tblCellMar>
        <w:left w:w="113" w:type="dxa"/>
        <w:right w:w="113" w:type="dxa"/>
      </w:tblCellMar>
      <w:tblLook w:val="0000"/>
    </w:tblPr>
    <w:tblGrid>
      <w:gridCol w:w="1134"/>
      <w:gridCol w:w="7206"/>
    </w:tblGrid>
    <w:tr w:rsidR="003306FB" w:rsidTr="008845DA">
      <w:trPr>
        <w:cantSplit/>
      </w:trPr>
      <w:tc>
        <w:tcPr>
          <w:tcW w:w="1134" w:type="dxa"/>
          <w:tcBorders>
            <w:top w:val="nil"/>
            <w:left w:val="nil"/>
            <w:bottom w:val="nil"/>
            <w:right w:val="nil"/>
          </w:tcBorders>
        </w:tcPr>
        <w:p w:rsidR="003306FB" w:rsidRDefault="003306FB" w:rsidP="008845DA">
          <w:r>
            <w:object w:dxaOrig="2820" w:dyaOrig="29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47.25pt" o:ole="">
                <v:imagedata r:id="rId1" o:title=""/>
              </v:shape>
              <o:OLEObject Type="Embed" ProgID="PBrush" ShapeID="_x0000_i1025" DrawAspect="Content" ObjectID="_1502105481" r:id="rId2"/>
            </w:object>
          </w:r>
        </w:p>
      </w:tc>
      <w:tc>
        <w:tcPr>
          <w:tcW w:w="7206" w:type="dxa"/>
          <w:tcBorders>
            <w:top w:val="nil"/>
            <w:left w:val="nil"/>
            <w:bottom w:val="nil"/>
            <w:right w:val="nil"/>
          </w:tcBorders>
        </w:tcPr>
        <w:p w:rsidR="003306FB" w:rsidRDefault="003306FB" w:rsidP="008845DA">
          <w:pPr>
            <w:rPr>
              <w:rFonts w:ascii="Arial" w:hAnsi="Arial"/>
              <w:color w:val="000080"/>
            </w:rPr>
          </w:pPr>
        </w:p>
        <w:p w:rsidR="003306FB" w:rsidRPr="00210844" w:rsidRDefault="003306FB" w:rsidP="008845DA">
          <w:pPr>
            <w:rPr>
              <w:color w:val="000080"/>
              <w:sz w:val="20"/>
              <w:szCs w:val="20"/>
            </w:rPr>
          </w:pPr>
          <w:r w:rsidRPr="00210844">
            <w:rPr>
              <w:color w:val="000080"/>
              <w:sz w:val="20"/>
              <w:szCs w:val="20"/>
            </w:rPr>
            <w:t>SENADO FEDERAL</w:t>
          </w:r>
        </w:p>
        <w:p w:rsidR="003306FB" w:rsidRDefault="003306FB" w:rsidP="008845DA">
          <w:pPr>
            <w:rPr>
              <w:color w:val="000080"/>
            </w:rPr>
          </w:pPr>
          <w:r w:rsidRPr="00210844">
            <w:rPr>
              <w:color w:val="000080"/>
              <w:sz w:val="20"/>
              <w:szCs w:val="20"/>
            </w:rPr>
            <w:t>GABINETE DA SENADORA GLEISI HOFFMANN</w:t>
          </w:r>
        </w:p>
      </w:tc>
    </w:tr>
  </w:tbl>
  <w:p w:rsidR="007D7178" w:rsidRDefault="007D7178" w:rsidP="0006746F">
    <w:pPr>
      <w:pStyle w:val="Cabealho"/>
      <w:ind w:right="36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6FB" w:rsidRDefault="003306FB">
    <w:pPr>
      <w:pStyle w:val="Cabealho"/>
    </w:pPr>
  </w:p>
  <w:tbl>
    <w:tblPr>
      <w:tblW w:w="0" w:type="auto"/>
      <w:tblInd w:w="137" w:type="dxa"/>
      <w:tblLayout w:type="fixed"/>
      <w:tblCellMar>
        <w:left w:w="113" w:type="dxa"/>
        <w:right w:w="113" w:type="dxa"/>
      </w:tblCellMar>
      <w:tblLook w:val="0000"/>
    </w:tblPr>
    <w:tblGrid>
      <w:gridCol w:w="1134"/>
      <w:gridCol w:w="7206"/>
    </w:tblGrid>
    <w:tr w:rsidR="003306FB" w:rsidTr="008845DA">
      <w:trPr>
        <w:cantSplit/>
      </w:trPr>
      <w:tc>
        <w:tcPr>
          <w:tcW w:w="1134" w:type="dxa"/>
          <w:tcBorders>
            <w:top w:val="nil"/>
            <w:left w:val="nil"/>
            <w:bottom w:val="nil"/>
            <w:right w:val="nil"/>
          </w:tcBorders>
        </w:tcPr>
        <w:p w:rsidR="003306FB" w:rsidRDefault="003306FB" w:rsidP="008845DA">
          <w:r>
            <w:object w:dxaOrig="2820" w:dyaOrig="29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pt;height:47.25pt" o:ole="">
                <v:imagedata r:id="rId1" o:title=""/>
              </v:shape>
              <o:OLEObject Type="Embed" ProgID="PBrush" ShapeID="_x0000_i1026" DrawAspect="Content" ObjectID="_1502105482" r:id="rId2"/>
            </w:object>
          </w:r>
        </w:p>
      </w:tc>
      <w:tc>
        <w:tcPr>
          <w:tcW w:w="7206" w:type="dxa"/>
          <w:tcBorders>
            <w:top w:val="nil"/>
            <w:left w:val="nil"/>
            <w:bottom w:val="nil"/>
            <w:right w:val="nil"/>
          </w:tcBorders>
        </w:tcPr>
        <w:p w:rsidR="003306FB" w:rsidRDefault="003306FB" w:rsidP="008845DA">
          <w:pPr>
            <w:rPr>
              <w:rFonts w:ascii="Arial" w:hAnsi="Arial"/>
              <w:color w:val="000080"/>
            </w:rPr>
          </w:pPr>
        </w:p>
        <w:p w:rsidR="003306FB" w:rsidRPr="00210844" w:rsidRDefault="003306FB" w:rsidP="008845DA">
          <w:pPr>
            <w:rPr>
              <w:color w:val="000080"/>
              <w:sz w:val="20"/>
              <w:szCs w:val="20"/>
            </w:rPr>
          </w:pPr>
          <w:r w:rsidRPr="00210844">
            <w:rPr>
              <w:color w:val="000080"/>
              <w:sz w:val="20"/>
              <w:szCs w:val="20"/>
            </w:rPr>
            <w:t>SENADO FEDERAL</w:t>
          </w:r>
        </w:p>
        <w:p w:rsidR="003306FB" w:rsidRDefault="003306FB" w:rsidP="008845DA">
          <w:pPr>
            <w:rPr>
              <w:color w:val="000080"/>
            </w:rPr>
          </w:pPr>
          <w:r w:rsidRPr="00210844">
            <w:rPr>
              <w:color w:val="000080"/>
              <w:sz w:val="20"/>
              <w:szCs w:val="20"/>
            </w:rPr>
            <w:t>GABINETE DA SENADORA GLEISI HOFFMANN</w:t>
          </w:r>
        </w:p>
      </w:tc>
    </w:tr>
  </w:tbl>
  <w:p w:rsidR="003306FB" w:rsidRDefault="003306F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D0868F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F5E04ED"/>
    <w:multiLevelType w:val="hybridMultilevel"/>
    <w:tmpl w:val="3508E44C"/>
    <w:lvl w:ilvl="0" w:tplc="7D303E0A">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28450DCF"/>
    <w:multiLevelType w:val="hybridMultilevel"/>
    <w:tmpl w:val="9D16EAD6"/>
    <w:lvl w:ilvl="0" w:tplc="FC7EF83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nsid w:val="32BC0A74"/>
    <w:multiLevelType w:val="hybridMultilevel"/>
    <w:tmpl w:val="84C4C87C"/>
    <w:lvl w:ilvl="0" w:tplc="AB36D4F6">
      <w:start w:val="1"/>
      <w:numFmt w:val="lowerLetter"/>
      <w:lvlText w:val="%1)"/>
      <w:lvlJc w:val="left"/>
      <w:pPr>
        <w:ind w:left="2138"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
    <w:nsid w:val="3A9E7729"/>
    <w:multiLevelType w:val="hybridMultilevel"/>
    <w:tmpl w:val="B10E16D2"/>
    <w:lvl w:ilvl="0" w:tplc="157EDBEC">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nsid w:val="3C280667"/>
    <w:multiLevelType w:val="hybridMultilevel"/>
    <w:tmpl w:val="9814E0BC"/>
    <w:lvl w:ilvl="0" w:tplc="CA34E3CC">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nsid w:val="4D950E27"/>
    <w:multiLevelType w:val="hybridMultilevel"/>
    <w:tmpl w:val="134810C6"/>
    <w:lvl w:ilvl="0" w:tplc="A59A76AC">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7">
    <w:nsid w:val="5C655C2D"/>
    <w:multiLevelType w:val="hybridMultilevel"/>
    <w:tmpl w:val="4FE678F0"/>
    <w:lvl w:ilvl="0" w:tplc="C308AE0A">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nsid w:val="5EA652E6"/>
    <w:multiLevelType w:val="hybridMultilevel"/>
    <w:tmpl w:val="348C31AE"/>
    <w:lvl w:ilvl="0" w:tplc="F85C82B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nsid w:val="602C3379"/>
    <w:multiLevelType w:val="hybridMultilevel"/>
    <w:tmpl w:val="8660B0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2F73363"/>
    <w:multiLevelType w:val="hybridMultilevel"/>
    <w:tmpl w:val="51C8F8A4"/>
    <w:lvl w:ilvl="0" w:tplc="8722C31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8"/>
  </w:num>
  <w:num w:numId="5">
    <w:abstractNumId w:val="9"/>
  </w:num>
  <w:num w:numId="6">
    <w:abstractNumId w:val="10"/>
  </w:num>
  <w:num w:numId="7">
    <w:abstractNumId w:val="7"/>
  </w:num>
  <w:num w:numId="8">
    <w:abstractNumId w:val="1"/>
  </w:num>
  <w:num w:numId="9">
    <w:abstractNumId w:val="2"/>
  </w:num>
  <w:num w:numId="10">
    <w:abstractNumId w:val="3"/>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0701"/>
  <w:defaultTabStop w:val="708"/>
  <w:hyphenationZone w:val="425"/>
  <w:drawingGridHorizontalSpacing w:val="120"/>
  <w:displayHorizontalDrawingGridEvery w:val="2"/>
  <w:characterSpacingControl w:val="doNotCompress"/>
  <w:hdrShapeDefaults>
    <o:shapedefaults v:ext="edit" spidmax="46083"/>
  </w:hdrShapeDefaults>
  <w:footnotePr>
    <w:footnote w:id="-1"/>
    <w:footnote w:id="0"/>
  </w:footnotePr>
  <w:endnotePr>
    <w:endnote w:id="-1"/>
    <w:endnote w:id="0"/>
  </w:endnotePr>
  <w:compat/>
  <w:rsids>
    <w:rsidRoot w:val="00D42D90"/>
    <w:rsid w:val="0000777F"/>
    <w:rsid w:val="00007887"/>
    <w:rsid w:val="00013728"/>
    <w:rsid w:val="000147A2"/>
    <w:rsid w:val="000178A5"/>
    <w:rsid w:val="0002326D"/>
    <w:rsid w:val="00023B2E"/>
    <w:rsid w:val="0003503C"/>
    <w:rsid w:val="00035A98"/>
    <w:rsid w:val="00040AD0"/>
    <w:rsid w:val="000438CC"/>
    <w:rsid w:val="00047564"/>
    <w:rsid w:val="00054BC0"/>
    <w:rsid w:val="00061E7A"/>
    <w:rsid w:val="000659AB"/>
    <w:rsid w:val="0006746F"/>
    <w:rsid w:val="000735E7"/>
    <w:rsid w:val="000817E9"/>
    <w:rsid w:val="0008748F"/>
    <w:rsid w:val="00091C7F"/>
    <w:rsid w:val="000940F9"/>
    <w:rsid w:val="000A7A0B"/>
    <w:rsid w:val="000B0DA8"/>
    <w:rsid w:val="000B2340"/>
    <w:rsid w:val="000B39C7"/>
    <w:rsid w:val="000B53B1"/>
    <w:rsid w:val="000B62EC"/>
    <w:rsid w:val="000B6F54"/>
    <w:rsid w:val="000C085C"/>
    <w:rsid w:val="000C0E20"/>
    <w:rsid w:val="000C2FB8"/>
    <w:rsid w:val="000C45BC"/>
    <w:rsid w:val="000D0032"/>
    <w:rsid w:val="000D1338"/>
    <w:rsid w:val="000D6E3E"/>
    <w:rsid w:val="000E09C1"/>
    <w:rsid w:val="000E552B"/>
    <w:rsid w:val="000E56EB"/>
    <w:rsid w:val="000F4DFD"/>
    <w:rsid w:val="000F77A6"/>
    <w:rsid w:val="00114296"/>
    <w:rsid w:val="00114F62"/>
    <w:rsid w:val="00130214"/>
    <w:rsid w:val="00134A75"/>
    <w:rsid w:val="00137674"/>
    <w:rsid w:val="00145AD8"/>
    <w:rsid w:val="0015172A"/>
    <w:rsid w:val="00155A27"/>
    <w:rsid w:val="00156B43"/>
    <w:rsid w:val="00162B7B"/>
    <w:rsid w:val="0018020A"/>
    <w:rsid w:val="00181AD2"/>
    <w:rsid w:val="001B2FA1"/>
    <w:rsid w:val="001B7F82"/>
    <w:rsid w:val="001C0CF5"/>
    <w:rsid w:val="001C1F99"/>
    <w:rsid w:val="001C2319"/>
    <w:rsid w:val="001D5FD0"/>
    <w:rsid w:val="001D64DE"/>
    <w:rsid w:val="001E12CA"/>
    <w:rsid w:val="001F250A"/>
    <w:rsid w:val="001F5293"/>
    <w:rsid w:val="00202C2B"/>
    <w:rsid w:val="00210844"/>
    <w:rsid w:val="00210DC4"/>
    <w:rsid w:val="00215340"/>
    <w:rsid w:val="00221290"/>
    <w:rsid w:val="00223639"/>
    <w:rsid w:val="00235A55"/>
    <w:rsid w:val="002411BF"/>
    <w:rsid w:val="0024596B"/>
    <w:rsid w:val="002568B1"/>
    <w:rsid w:val="002570BB"/>
    <w:rsid w:val="00262750"/>
    <w:rsid w:val="00267CB0"/>
    <w:rsid w:val="00273A94"/>
    <w:rsid w:val="0027639D"/>
    <w:rsid w:val="00276B98"/>
    <w:rsid w:val="00280782"/>
    <w:rsid w:val="002B2D2E"/>
    <w:rsid w:val="002B66CE"/>
    <w:rsid w:val="002C4672"/>
    <w:rsid w:val="002C7F31"/>
    <w:rsid w:val="002D7899"/>
    <w:rsid w:val="002E266D"/>
    <w:rsid w:val="002E6732"/>
    <w:rsid w:val="003015EC"/>
    <w:rsid w:val="003077C7"/>
    <w:rsid w:val="003213EA"/>
    <w:rsid w:val="0032402A"/>
    <w:rsid w:val="00326388"/>
    <w:rsid w:val="00327155"/>
    <w:rsid w:val="0033036A"/>
    <w:rsid w:val="003306FB"/>
    <w:rsid w:val="0033147A"/>
    <w:rsid w:val="003460AB"/>
    <w:rsid w:val="003478A2"/>
    <w:rsid w:val="00351186"/>
    <w:rsid w:val="0035393E"/>
    <w:rsid w:val="00355B52"/>
    <w:rsid w:val="0036008D"/>
    <w:rsid w:val="00366D72"/>
    <w:rsid w:val="00370207"/>
    <w:rsid w:val="00372529"/>
    <w:rsid w:val="0037394A"/>
    <w:rsid w:val="00373BAC"/>
    <w:rsid w:val="003756C8"/>
    <w:rsid w:val="00377DAD"/>
    <w:rsid w:val="003805A0"/>
    <w:rsid w:val="0038192C"/>
    <w:rsid w:val="00384B8F"/>
    <w:rsid w:val="003961BB"/>
    <w:rsid w:val="00396C27"/>
    <w:rsid w:val="003A726A"/>
    <w:rsid w:val="003C0115"/>
    <w:rsid w:val="003C0629"/>
    <w:rsid w:val="003C1726"/>
    <w:rsid w:val="003C3C29"/>
    <w:rsid w:val="003C48C3"/>
    <w:rsid w:val="003C6DC6"/>
    <w:rsid w:val="003D0934"/>
    <w:rsid w:val="003D0FB8"/>
    <w:rsid w:val="003D2F01"/>
    <w:rsid w:val="003D64E9"/>
    <w:rsid w:val="003E05A2"/>
    <w:rsid w:val="003E0B72"/>
    <w:rsid w:val="003E5E95"/>
    <w:rsid w:val="003E6DDC"/>
    <w:rsid w:val="003E7FF4"/>
    <w:rsid w:val="003F09E5"/>
    <w:rsid w:val="0040496F"/>
    <w:rsid w:val="00411631"/>
    <w:rsid w:val="00413D13"/>
    <w:rsid w:val="00415615"/>
    <w:rsid w:val="00424D54"/>
    <w:rsid w:val="00434FB7"/>
    <w:rsid w:val="00442B5B"/>
    <w:rsid w:val="0044375B"/>
    <w:rsid w:val="00445C83"/>
    <w:rsid w:val="004479C7"/>
    <w:rsid w:val="00453659"/>
    <w:rsid w:val="00467558"/>
    <w:rsid w:val="004677F0"/>
    <w:rsid w:val="0047119F"/>
    <w:rsid w:val="00471611"/>
    <w:rsid w:val="00493CC7"/>
    <w:rsid w:val="004A5E8C"/>
    <w:rsid w:val="004A63C0"/>
    <w:rsid w:val="004C410A"/>
    <w:rsid w:val="004D0F32"/>
    <w:rsid w:val="004F0363"/>
    <w:rsid w:val="004F39A2"/>
    <w:rsid w:val="004F4867"/>
    <w:rsid w:val="004F6497"/>
    <w:rsid w:val="005039F7"/>
    <w:rsid w:val="00514416"/>
    <w:rsid w:val="005268E7"/>
    <w:rsid w:val="005303E7"/>
    <w:rsid w:val="00547811"/>
    <w:rsid w:val="00566008"/>
    <w:rsid w:val="00577075"/>
    <w:rsid w:val="00591284"/>
    <w:rsid w:val="00595300"/>
    <w:rsid w:val="00597404"/>
    <w:rsid w:val="005A0AD6"/>
    <w:rsid w:val="005A16BC"/>
    <w:rsid w:val="005C165F"/>
    <w:rsid w:val="005C2F35"/>
    <w:rsid w:val="005C3B65"/>
    <w:rsid w:val="005C5658"/>
    <w:rsid w:val="005C5787"/>
    <w:rsid w:val="005D0F9C"/>
    <w:rsid w:val="005D6C57"/>
    <w:rsid w:val="005E51F8"/>
    <w:rsid w:val="005F3D00"/>
    <w:rsid w:val="005F41C7"/>
    <w:rsid w:val="005F60D9"/>
    <w:rsid w:val="00600D61"/>
    <w:rsid w:val="00602103"/>
    <w:rsid w:val="006036A6"/>
    <w:rsid w:val="0060391C"/>
    <w:rsid w:val="0061337B"/>
    <w:rsid w:val="00613BCA"/>
    <w:rsid w:val="00615ECB"/>
    <w:rsid w:val="00634C1F"/>
    <w:rsid w:val="00635C8E"/>
    <w:rsid w:val="006374AB"/>
    <w:rsid w:val="0064570E"/>
    <w:rsid w:val="006547F0"/>
    <w:rsid w:val="00667957"/>
    <w:rsid w:val="00667C16"/>
    <w:rsid w:val="00682C2C"/>
    <w:rsid w:val="00685E14"/>
    <w:rsid w:val="006871AD"/>
    <w:rsid w:val="0068775D"/>
    <w:rsid w:val="00687AAA"/>
    <w:rsid w:val="006A2ABA"/>
    <w:rsid w:val="006A74C9"/>
    <w:rsid w:val="006C2178"/>
    <w:rsid w:val="006C3676"/>
    <w:rsid w:val="006D2567"/>
    <w:rsid w:val="006D46C5"/>
    <w:rsid w:val="006D4C78"/>
    <w:rsid w:val="006E0B47"/>
    <w:rsid w:val="006E739B"/>
    <w:rsid w:val="006E7EB3"/>
    <w:rsid w:val="00700328"/>
    <w:rsid w:val="00710885"/>
    <w:rsid w:val="00723250"/>
    <w:rsid w:val="007239F0"/>
    <w:rsid w:val="00724053"/>
    <w:rsid w:val="00725BC0"/>
    <w:rsid w:val="00731A8A"/>
    <w:rsid w:val="00732B39"/>
    <w:rsid w:val="007345F4"/>
    <w:rsid w:val="0073529D"/>
    <w:rsid w:val="00735838"/>
    <w:rsid w:val="0075030D"/>
    <w:rsid w:val="007522CD"/>
    <w:rsid w:val="00752A65"/>
    <w:rsid w:val="00764814"/>
    <w:rsid w:val="00764BF1"/>
    <w:rsid w:val="0076797B"/>
    <w:rsid w:val="00770DFB"/>
    <w:rsid w:val="00777086"/>
    <w:rsid w:val="00783315"/>
    <w:rsid w:val="00786702"/>
    <w:rsid w:val="00791CD4"/>
    <w:rsid w:val="00797864"/>
    <w:rsid w:val="007A02BA"/>
    <w:rsid w:val="007A5301"/>
    <w:rsid w:val="007A7C58"/>
    <w:rsid w:val="007B5DF9"/>
    <w:rsid w:val="007B6FF8"/>
    <w:rsid w:val="007C2F6E"/>
    <w:rsid w:val="007D0612"/>
    <w:rsid w:val="007D0FB4"/>
    <w:rsid w:val="007D7178"/>
    <w:rsid w:val="007D7995"/>
    <w:rsid w:val="00805E37"/>
    <w:rsid w:val="00816849"/>
    <w:rsid w:val="00821B80"/>
    <w:rsid w:val="0082323C"/>
    <w:rsid w:val="00836258"/>
    <w:rsid w:val="00836736"/>
    <w:rsid w:val="008378F4"/>
    <w:rsid w:val="00841384"/>
    <w:rsid w:val="00847B59"/>
    <w:rsid w:val="00853D30"/>
    <w:rsid w:val="008618D7"/>
    <w:rsid w:val="00863433"/>
    <w:rsid w:val="008706D4"/>
    <w:rsid w:val="00875449"/>
    <w:rsid w:val="00880565"/>
    <w:rsid w:val="00885457"/>
    <w:rsid w:val="008878C8"/>
    <w:rsid w:val="00887BB3"/>
    <w:rsid w:val="00894872"/>
    <w:rsid w:val="008A2683"/>
    <w:rsid w:val="008C4C48"/>
    <w:rsid w:val="008D44E7"/>
    <w:rsid w:val="008E2C9F"/>
    <w:rsid w:val="008F2C41"/>
    <w:rsid w:val="008F3BA3"/>
    <w:rsid w:val="008F45CF"/>
    <w:rsid w:val="00916C01"/>
    <w:rsid w:val="009177D5"/>
    <w:rsid w:val="00920880"/>
    <w:rsid w:val="00924AC7"/>
    <w:rsid w:val="009359C9"/>
    <w:rsid w:val="00935E46"/>
    <w:rsid w:val="00937552"/>
    <w:rsid w:val="00956E1A"/>
    <w:rsid w:val="00964D92"/>
    <w:rsid w:val="00965832"/>
    <w:rsid w:val="00971498"/>
    <w:rsid w:val="00972FD9"/>
    <w:rsid w:val="009732A5"/>
    <w:rsid w:val="00985D1E"/>
    <w:rsid w:val="009A1AD1"/>
    <w:rsid w:val="009A3BC3"/>
    <w:rsid w:val="009A7266"/>
    <w:rsid w:val="009A7FE7"/>
    <w:rsid w:val="009B0B8B"/>
    <w:rsid w:val="009B4D98"/>
    <w:rsid w:val="009C4F01"/>
    <w:rsid w:val="009D11F1"/>
    <w:rsid w:val="009D1D97"/>
    <w:rsid w:val="009E1B9C"/>
    <w:rsid w:val="009E4A04"/>
    <w:rsid w:val="009E7CC7"/>
    <w:rsid w:val="009F0F8A"/>
    <w:rsid w:val="009F21A7"/>
    <w:rsid w:val="009F4054"/>
    <w:rsid w:val="009F578B"/>
    <w:rsid w:val="00A009B5"/>
    <w:rsid w:val="00A022B8"/>
    <w:rsid w:val="00A02ADB"/>
    <w:rsid w:val="00A14B54"/>
    <w:rsid w:val="00A14FB3"/>
    <w:rsid w:val="00A1507E"/>
    <w:rsid w:val="00A17FE0"/>
    <w:rsid w:val="00A24EDE"/>
    <w:rsid w:val="00A319E6"/>
    <w:rsid w:val="00A37E5E"/>
    <w:rsid w:val="00A45B0A"/>
    <w:rsid w:val="00A539F8"/>
    <w:rsid w:val="00A57E09"/>
    <w:rsid w:val="00A628F6"/>
    <w:rsid w:val="00A62A8A"/>
    <w:rsid w:val="00A63600"/>
    <w:rsid w:val="00A639AA"/>
    <w:rsid w:val="00A6514B"/>
    <w:rsid w:val="00A65B52"/>
    <w:rsid w:val="00A67434"/>
    <w:rsid w:val="00A7133C"/>
    <w:rsid w:val="00A723A4"/>
    <w:rsid w:val="00A80008"/>
    <w:rsid w:val="00A94F9C"/>
    <w:rsid w:val="00AA31B6"/>
    <w:rsid w:val="00AA399C"/>
    <w:rsid w:val="00AA634C"/>
    <w:rsid w:val="00AA7EE0"/>
    <w:rsid w:val="00AB11FF"/>
    <w:rsid w:val="00AB252A"/>
    <w:rsid w:val="00AB75D6"/>
    <w:rsid w:val="00AC2D55"/>
    <w:rsid w:val="00AC3E28"/>
    <w:rsid w:val="00AD686A"/>
    <w:rsid w:val="00AD73E3"/>
    <w:rsid w:val="00AD7E06"/>
    <w:rsid w:val="00AE1424"/>
    <w:rsid w:val="00AF1B50"/>
    <w:rsid w:val="00AF2459"/>
    <w:rsid w:val="00AF2B9F"/>
    <w:rsid w:val="00AF488E"/>
    <w:rsid w:val="00AF5163"/>
    <w:rsid w:val="00AF623D"/>
    <w:rsid w:val="00B029D6"/>
    <w:rsid w:val="00B036C2"/>
    <w:rsid w:val="00B12306"/>
    <w:rsid w:val="00B14316"/>
    <w:rsid w:val="00B32CD8"/>
    <w:rsid w:val="00B454E7"/>
    <w:rsid w:val="00B610A5"/>
    <w:rsid w:val="00B642A5"/>
    <w:rsid w:val="00B64471"/>
    <w:rsid w:val="00B660D9"/>
    <w:rsid w:val="00B7083F"/>
    <w:rsid w:val="00B70ADB"/>
    <w:rsid w:val="00B82C5C"/>
    <w:rsid w:val="00B86220"/>
    <w:rsid w:val="00B87648"/>
    <w:rsid w:val="00B906B6"/>
    <w:rsid w:val="00BA0A1C"/>
    <w:rsid w:val="00BB191B"/>
    <w:rsid w:val="00BB19A8"/>
    <w:rsid w:val="00BC12C8"/>
    <w:rsid w:val="00BC37EF"/>
    <w:rsid w:val="00BC6905"/>
    <w:rsid w:val="00BC7B54"/>
    <w:rsid w:val="00BD16ED"/>
    <w:rsid w:val="00BD230D"/>
    <w:rsid w:val="00BE13C3"/>
    <w:rsid w:val="00BE7403"/>
    <w:rsid w:val="00BF17CC"/>
    <w:rsid w:val="00BF47FF"/>
    <w:rsid w:val="00BF4C31"/>
    <w:rsid w:val="00BF5910"/>
    <w:rsid w:val="00BF594C"/>
    <w:rsid w:val="00C0512F"/>
    <w:rsid w:val="00C1212E"/>
    <w:rsid w:val="00C169B7"/>
    <w:rsid w:val="00C17892"/>
    <w:rsid w:val="00C216F8"/>
    <w:rsid w:val="00C230AF"/>
    <w:rsid w:val="00C30A20"/>
    <w:rsid w:val="00C333A2"/>
    <w:rsid w:val="00C34A04"/>
    <w:rsid w:val="00C371BB"/>
    <w:rsid w:val="00C422EC"/>
    <w:rsid w:val="00C467F9"/>
    <w:rsid w:val="00C57FD2"/>
    <w:rsid w:val="00C6797E"/>
    <w:rsid w:val="00C70E94"/>
    <w:rsid w:val="00CA3124"/>
    <w:rsid w:val="00CB627A"/>
    <w:rsid w:val="00CC4211"/>
    <w:rsid w:val="00CC53C0"/>
    <w:rsid w:val="00CE6D6A"/>
    <w:rsid w:val="00CE7648"/>
    <w:rsid w:val="00CF12AF"/>
    <w:rsid w:val="00CF1C34"/>
    <w:rsid w:val="00CF2FCB"/>
    <w:rsid w:val="00CF3871"/>
    <w:rsid w:val="00CF4A88"/>
    <w:rsid w:val="00D04CD9"/>
    <w:rsid w:val="00D1479C"/>
    <w:rsid w:val="00D14929"/>
    <w:rsid w:val="00D14DD4"/>
    <w:rsid w:val="00D17C43"/>
    <w:rsid w:val="00D23A06"/>
    <w:rsid w:val="00D42D90"/>
    <w:rsid w:val="00D47942"/>
    <w:rsid w:val="00D50857"/>
    <w:rsid w:val="00D50EC2"/>
    <w:rsid w:val="00D51928"/>
    <w:rsid w:val="00D52740"/>
    <w:rsid w:val="00D56FA4"/>
    <w:rsid w:val="00D60469"/>
    <w:rsid w:val="00D6247C"/>
    <w:rsid w:val="00D743FB"/>
    <w:rsid w:val="00D8346B"/>
    <w:rsid w:val="00D850C0"/>
    <w:rsid w:val="00DA4AC4"/>
    <w:rsid w:val="00DB4612"/>
    <w:rsid w:val="00DC536F"/>
    <w:rsid w:val="00DD30B7"/>
    <w:rsid w:val="00DD7615"/>
    <w:rsid w:val="00DF0228"/>
    <w:rsid w:val="00DF4457"/>
    <w:rsid w:val="00DF7ED3"/>
    <w:rsid w:val="00E01F78"/>
    <w:rsid w:val="00E028E8"/>
    <w:rsid w:val="00E04BEE"/>
    <w:rsid w:val="00E124D5"/>
    <w:rsid w:val="00E14C32"/>
    <w:rsid w:val="00E3497F"/>
    <w:rsid w:val="00E36EAC"/>
    <w:rsid w:val="00E4293A"/>
    <w:rsid w:val="00E54FCD"/>
    <w:rsid w:val="00E55356"/>
    <w:rsid w:val="00E61FB4"/>
    <w:rsid w:val="00E656D5"/>
    <w:rsid w:val="00E65BA6"/>
    <w:rsid w:val="00E713F1"/>
    <w:rsid w:val="00E7166D"/>
    <w:rsid w:val="00E836FC"/>
    <w:rsid w:val="00E87394"/>
    <w:rsid w:val="00E922BD"/>
    <w:rsid w:val="00EA6EFD"/>
    <w:rsid w:val="00EA75CD"/>
    <w:rsid w:val="00EB64F8"/>
    <w:rsid w:val="00EB7AEB"/>
    <w:rsid w:val="00EC23C2"/>
    <w:rsid w:val="00EC5321"/>
    <w:rsid w:val="00EC5383"/>
    <w:rsid w:val="00EE06B5"/>
    <w:rsid w:val="00EE2967"/>
    <w:rsid w:val="00EF595F"/>
    <w:rsid w:val="00EF6511"/>
    <w:rsid w:val="00F11F67"/>
    <w:rsid w:val="00F16B81"/>
    <w:rsid w:val="00F1783F"/>
    <w:rsid w:val="00F3096B"/>
    <w:rsid w:val="00F34A6B"/>
    <w:rsid w:val="00F362DD"/>
    <w:rsid w:val="00F61085"/>
    <w:rsid w:val="00F623EC"/>
    <w:rsid w:val="00F64311"/>
    <w:rsid w:val="00F73F17"/>
    <w:rsid w:val="00F80907"/>
    <w:rsid w:val="00F82B58"/>
    <w:rsid w:val="00F87863"/>
    <w:rsid w:val="00F91184"/>
    <w:rsid w:val="00F93486"/>
    <w:rsid w:val="00FA0D80"/>
    <w:rsid w:val="00FB5987"/>
    <w:rsid w:val="00FC1835"/>
    <w:rsid w:val="00FC384E"/>
    <w:rsid w:val="00FC3B89"/>
    <w:rsid w:val="00FD063F"/>
    <w:rsid w:val="00FE0E3D"/>
    <w:rsid w:val="00FE3B29"/>
    <w:rsid w:val="00FF393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60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47C"/>
    <w:rPr>
      <w:rFonts w:eastAsia="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63433"/>
    <w:pPr>
      <w:tabs>
        <w:tab w:val="center" w:pos="4252"/>
        <w:tab w:val="right" w:pos="8504"/>
      </w:tabs>
    </w:pPr>
  </w:style>
  <w:style w:type="character" w:customStyle="1" w:styleId="CabealhoChar">
    <w:name w:val="Cabeçalho Char"/>
    <w:basedOn w:val="Fontepargpadro"/>
    <w:link w:val="Cabealho"/>
    <w:uiPriority w:val="99"/>
    <w:rsid w:val="00863433"/>
  </w:style>
  <w:style w:type="paragraph" w:customStyle="1" w:styleId="01-Minuta-CLG">
    <w:name w:val="01 - Minuta - CLG"/>
    <w:link w:val="01-Minuta-CLGChar"/>
    <w:rsid w:val="00D42D90"/>
    <w:pPr>
      <w:spacing w:after="180"/>
      <w:jc w:val="center"/>
    </w:pPr>
    <w:rPr>
      <w:rFonts w:eastAsia="Times New Roman"/>
      <w:sz w:val="24"/>
    </w:rPr>
  </w:style>
  <w:style w:type="character" w:customStyle="1" w:styleId="01-Minuta-CLGChar">
    <w:name w:val="01 - Minuta - CLG Char"/>
    <w:link w:val="01-Minuta-CLG"/>
    <w:rsid w:val="000147A2"/>
    <w:rPr>
      <w:rFonts w:eastAsia="Times New Roman"/>
      <w:sz w:val="24"/>
      <w:lang w:bidi="ar-SA"/>
    </w:rPr>
  </w:style>
  <w:style w:type="paragraph" w:customStyle="1" w:styleId="02-TtuloPrincipal-CLG">
    <w:name w:val="02 - Título Principal - CLG"/>
    <w:link w:val="02-TtuloPrincipal-CLGChar"/>
    <w:rsid w:val="00D42D90"/>
    <w:pPr>
      <w:spacing w:after="960"/>
      <w:jc w:val="center"/>
    </w:pPr>
    <w:rPr>
      <w:rFonts w:eastAsia="Times New Roman"/>
      <w:b/>
      <w:bCs/>
      <w:sz w:val="32"/>
    </w:rPr>
  </w:style>
  <w:style w:type="character" w:customStyle="1" w:styleId="02-TtuloPrincipal-CLGChar">
    <w:name w:val="02 - Título Principal - CLG Char"/>
    <w:link w:val="02-TtuloPrincipal-CLG"/>
    <w:rsid w:val="000147A2"/>
    <w:rPr>
      <w:rFonts w:eastAsia="Times New Roman"/>
      <w:b/>
      <w:bCs/>
      <w:sz w:val="32"/>
      <w:lang w:bidi="ar-SA"/>
    </w:rPr>
  </w:style>
  <w:style w:type="paragraph" w:customStyle="1" w:styleId="03-Ementa-CLG">
    <w:name w:val="03 - Ementa - CLG"/>
    <w:link w:val="03-Ementa-CLGCharChar"/>
    <w:rsid w:val="00D42D90"/>
    <w:pPr>
      <w:spacing w:after="960"/>
      <w:ind w:left="3686"/>
      <w:jc w:val="both"/>
    </w:pPr>
    <w:rPr>
      <w:rFonts w:eastAsia="Arial Unicode MS"/>
      <w:sz w:val="24"/>
      <w:szCs w:val="24"/>
    </w:rPr>
  </w:style>
  <w:style w:type="character" w:customStyle="1" w:styleId="03-Ementa-CLGCharChar">
    <w:name w:val="03 - Ementa - CLG Char Char"/>
    <w:link w:val="03-Ementa-CLG"/>
    <w:rsid w:val="000147A2"/>
    <w:rPr>
      <w:rFonts w:eastAsia="Arial Unicode MS"/>
      <w:sz w:val="24"/>
      <w:szCs w:val="24"/>
      <w:lang w:bidi="ar-SA"/>
    </w:rPr>
  </w:style>
  <w:style w:type="paragraph" w:customStyle="1" w:styleId="04-Relatoria-CLG">
    <w:name w:val="04 - Relatoria - CLG"/>
    <w:link w:val="04-Relatoria-CLGChar"/>
    <w:rsid w:val="00D42D90"/>
    <w:pPr>
      <w:spacing w:after="960"/>
      <w:ind w:left="1440"/>
    </w:pPr>
    <w:rPr>
      <w:rFonts w:eastAsia="Times New Roman"/>
      <w:sz w:val="28"/>
    </w:rPr>
  </w:style>
  <w:style w:type="character" w:customStyle="1" w:styleId="04-Relatoria-CLGChar">
    <w:name w:val="04 - Relatoria - CLG Char"/>
    <w:link w:val="04-Relatoria-CLG"/>
    <w:rsid w:val="000147A2"/>
    <w:rPr>
      <w:rFonts w:eastAsia="Times New Roman"/>
      <w:sz w:val="28"/>
      <w:lang w:bidi="ar-SA"/>
    </w:rPr>
  </w:style>
  <w:style w:type="paragraph" w:customStyle="1" w:styleId="05-Subttulo-CLG">
    <w:name w:val="05 - Subtítulo - CLG"/>
    <w:link w:val="05-Subttulo-CLGChar"/>
    <w:rsid w:val="00D42D90"/>
    <w:pPr>
      <w:spacing w:after="480"/>
      <w:jc w:val="both"/>
    </w:pPr>
    <w:rPr>
      <w:rFonts w:eastAsia="Times New Roman"/>
      <w:b/>
      <w:bCs/>
      <w:sz w:val="28"/>
    </w:rPr>
  </w:style>
  <w:style w:type="character" w:customStyle="1" w:styleId="05-Subttulo-CLGChar">
    <w:name w:val="05 - Subtítulo - CLG Char"/>
    <w:link w:val="05-Subttulo-CLG"/>
    <w:rsid w:val="000147A2"/>
    <w:rPr>
      <w:rFonts w:eastAsia="Times New Roman"/>
      <w:b/>
      <w:bCs/>
      <w:sz w:val="28"/>
      <w:lang w:bidi="ar-SA"/>
    </w:rPr>
  </w:style>
  <w:style w:type="paragraph" w:customStyle="1" w:styleId="06-Pargrafodetexto-CLG">
    <w:name w:val="06 - Parágrafo de texto - CLG"/>
    <w:link w:val="06-Pargrafodetexto-CLGChar"/>
    <w:rsid w:val="00D42D90"/>
    <w:pPr>
      <w:spacing w:after="360"/>
      <w:ind w:firstLine="1418"/>
      <w:jc w:val="both"/>
    </w:pPr>
    <w:rPr>
      <w:rFonts w:eastAsia="Times New Roman"/>
      <w:sz w:val="28"/>
    </w:rPr>
  </w:style>
  <w:style w:type="character" w:customStyle="1" w:styleId="06-Pargrafodetexto-CLGChar">
    <w:name w:val="06 - Parágrafo de texto - CLG Char"/>
    <w:link w:val="06-Pargrafodetexto-CLG"/>
    <w:rsid w:val="000147A2"/>
    <w:rPr>
      <w:rFonts w:eastAsia="Times New Roman"/>
      <w:sz w:val="28"/>
      <w:lang w:bidi="ar-SA"/>
    </w:rPr>
  </w:style>
  <w:style w:type="paragraph" w:customStyle="1" w:styleId="07-Citaolegal-CLG">
    <w:name w:val="07 - Citação legal - CLG"/>
    <w:rsid w:val="00D42D90"/>
    <w:pPr>
      <w:spacing w:after="120"/>
      <w:ind w:left="1985" w:firstLine="567"/>
      <w:jc w:val="both"/>
    </w:pPr>
    <w:rPr>
      <w:rFonts w:eastAsia="Times New Roman"/>
      <w:bCs/>
      <w:sz w:val="24"/>
    </w:rPr>
  </w:style>
  <w:style w:type="paragraph" w:customStyle="1" w:styleId="08-Citaolegal-ltimalinha-CLG">
    <w:name w:val="08 - Citação legal - última linha - CLG"/>
    <w:rsid w:val="00D42D90"/>
    <w:pPr>
      <w:spacing w:after="480"/>
      <w:ind w:left="1985" w:firstLine="567"/>
      <w:jc w:val="both"/>
    </w:pPr>
    <w:rPr>
      <w:rFonts w:eastAsia="Times New Roman"/>
      <w:sz w:val="24"/>
    </w:rPr>
  </w:style>
  <w:style w:type="paragraph" w:customStyle="1" w:styleId="09-Ttuloemenda-CLG">
    <w:name w:val="09 - Título emenda - CLG"/>
    <w:rsid w:val="00D42D90"/>
    <w:pPr>
      <w:spacing w:before="480" w:after="360"/>
      <w:jc w:val="center"/>
    </w:pPr>
    <w:rPr>
      <w:rFonts w:eastAsia="Times New Roman"/>
      <w:b/>
      <w:bCs/>
      <w:spacing w:val="-4"/>
      <w:sz w:val="28"/>
    </w:rPr>
  </w:style>
  <w:style w:type="paragraph" w:customStyle="1" w:styleId="10-Local-CLG">
    <w:name w:val="10 - Local - CLG"/>
    <w:link w:val="10-Local-CLGChar"/>
    <w:rsid w:val="00D42D90"/>
    <w:pPr>
      <w:spacing w:before="960" w:after="720"/>
      <w:ind w:firstLine="2520"/>
      <w:jc w:val="both"/>
    </w:pPr>
    <w:rPr>
      <w:rFonts w:eastAsia="Times New Roman"/>
      <w:sz w:val="28"/>
    </w:rPr>
  </w:style>
  <w:style w:type="character" w:customStyle="1" w:styleId="10-Local-CLGChar">
    <w:name w:val="10 - Local - CLG Char"/>
    <w:link w:val="10-Local-CLG"/>
    <w:rsid w:val="000147A2"/>
    <w:rPr>
      <w:rFonts w:eastAsia="Times New Roman"/>
      <w:sz w:val="28"/>
      <w:lang w:bidi="ar-SA"/>
    </w:rPr>
  </w:style>
  <w:style w:type="paragraph" w:customStyle="1" w:styleId="11-Assinaturas-CLG">
    <w:name w:val="11 - Assinaturas - CLG"/>
    <w:link w:val="11-Assinaturas-CLGChar"/>
    <w:rsid w:val="00D42D90"/>
    <w:pPr>
      <w:spacing w:after="960"/>
      <w:ind w:left="6240"/>
      <w:jc w:val="both"/>
    </w:pPr>
    <w:rPr>
      <w:rFonts w:eastAsia="Times New Roman"/>
      <w:sz w:val="28"/>
    </w:rPr>
  </w:style>
  <w:style w:type="character" w:customStyle="1" w:styleId="11-Assinaturas-CLGChar">
    <w:name w:val="11 - Assinaturas - CLG Char"/>
    <w:link w:val="11-Assinaturas-CLG"/>
    <w:rsid w:val="000147A2"/>
    <w:rPr>
      <w:rFonts w:eastAsia="Times New Roman"/>
      <w:sz w:val="28"/>
      <w:lang w:bidi="ar-SA"/>
    </w:rPr>
  </w:style>
  <w:style w:type="paragraph" w:styleId="Rodap">
    <w:name w:val="footer"/>
    <w:basedOn w:val="Normal"/>
    <w:link w:val="RodapChar"/>
    <w:uiPriority w:val="99"/>
    <w:unhideWhenUsed/>
    <w:rsid w:val="00863433"/>
    <w:pPr>
      <w:tabs>
        <w:tab w:val="center" w:pos="4252"/>
        <w:tab w:val="right" w:pos="8504"/>
      </w:tabs>
    </w:pPr>
  </w:style>
  <w:style w:type="character" w:customStyle="1" w:styleId="RodapChar">
    <w:name w:val="Rodapé Char"/>
    <w:basedOn w:val="Fontepargpadro"/>
    <w:link w:val="Rodap"/>
    <w:uiPriority w:val="99"/>
    <w:rsid w:val="00863433"/>
  </w:style>
  <w:style w:type="paragraph" w:customStyle="1" w:styleId="04-PargrafodetextoEstudoNotas-CLG">
    <w:name w:val="04 - Parágrafo de texto Estudo Notas - CLG"/>
    <w:link w:val="04-PargrafodetextoEstudoNotas-CLGChar"/>
    <w:rsid w:val="00EE06B5"/>
    <w:pPr>
      <w:spacing w:after="360" w:line="360" w:lineRule="auto"/>
      <w:ind w:firstLine="1418"/>
      <w:jc w:val="both"/>
    </w:pPr>
    <w:rPr>
      <w:rFonts w:eastAsia="Times New Roman"/>
      <w:sz w:val="28"/>
    </w:rPr>
  </w:style>
  <w:style w:type="character" w:customStyle="1" w:styleId="04-PargrafodetextoEstudoNotas-CLGChar">
    <w:name w:val="04 - Parágrafo de texto Estudo Notas - CLG Char"/>
    <w:basedOn w:val="Fontepargpadro"/>
    <w:link w:val="04-PargrafodetextoEstudoNotas-CLG"/>
    <w:rsid w:val="00EE06B5"/>
    <w:rPr>
      <w:rFonts w:eastAsia="Times New Roman"/>
      <w:sz w:val="28"/>
      <w:lang w:val="pt-BR" w:eastAsia="pt-BR" w:bidi="ar-SA"/>
    </w:rPr>
  </w:style>
  <w:style w:type="paragraph" w:styleId="Textodebalo">
    <w:name w:val="Balloon Text"/>
    <w:basedOn w:val="Normal"/>
    <w:link w:val="TextodebaloChar"/>
    <w:semiHidden/>
    <w:unhideWhenUsed/>
    <w:rsid w:val="00BB191B"/>
    <w:pPr>
      <w:spacing w:after="200" w:line="276" w:lineRule="auto"/>
    </w:pPr>
    <w:rPr>
      <w:rFonts w:ascii="Tahoma" w:eastAsia="Calibri" w:hAnsi="Tahoma" w:cs="Tahoma"/>
      <w:sz w:val="16"/>
      <w:szCs w:val="16"/>
    </w:rPr>
  </w:style>
  <w:style w:type="character" w:customStyle="1" w:styleId="TextodebaloChar">
    <w:name w:val="Texto de balão Char"/>
    <w:basedOn w:val="Fontepargpadro"/>
    <w:link w:val="Textodebalo"/>
    <w:uiPriority w:val="99"/>
    <w:semiHidden/>
    <w:rsid w:val="00BB191B"/>
    <w:rPr>
      <w:rFonts w:ascii="Tahoma" w:eastAsia="Calibri" w:hAnsi="Tahoma" w:cs="Tahoma"/>
      <w:sz w:val="16"/>
      <w:szCs w:val="16"/>
    </w:rPr>
  </w:style>
  <w:style w:type="paragraph" w:customStyle="1" w:styleId="06-Citaolegal-linhafinal-CLG">
    <w:name w:val="06 - Citação legal - linha final - CLG"/>
    <w:rsid w:val="00A94F9C"/>
    <w:pPr>
      <w:spacing w:after="480"/>
      <w:ind w:left="1985" w:firstLine="567"/>
      <w:jc w:val="both"/>
    </w:pPr>
    <w:rPr>
      <w:rFonts w:eastAsia="Times New Roman"/>
      <w:sz w:val="24"/>
    </w:rPr>
  </w:style>
  <w:style w:type="paragraph" w:customStyle="1" w:styleId="03-SubttuloEstudoNota-CLG">
    <w:name w:val="03 - Subtítulo Estudo Nota - CLG"/>
    <w:link w:val="03-SubttuloEstudoNota-CLGChar"/>
    <w:rsid w:val="00D6247C"/>
    <w:pPr>
      <w:spacing w:after="360" w:line="420" w:lineRule="exact"/>
      <w:ind w:left="357" w:hanging="357"/>
    </w:pPr>
    <w:rPr>
      <w:rFonts w:eastAsia="Times New Roman"/>
      <w:sz w:val="28"/>
    </w:rPr>
  </w:style>
  <w:style w:type="character" w:customStyle="1" w:styleId="03-SubttuloEstudoNota-CLGChar">
    <w:name w:val="03 - Subtítulo Estudo Nota - CLG Char"/>
    <w:basedOn w:val="Fontepargpadro"/>
    <w:link w:val="03-SubttuloEstudoNota-CLG"/>
    <w:rsid w:val="00D6247C"/>
    <w:rPr>
      <w:rFonts w:eastAsia="Times New Roman"/>
      <w:sz w:val="28"/>
      <w:lang w:val="pt-BR" w:eastAsia="pt-BR" w:bidi="ar-SA"/>
    </w:rPr>
  </w:style>
  <w:style w:type="paragraph" w:styleId="Corpodetexto">
    <w:name w:val="Body Text"/>
    <w:basedOn w:val="Normal"/>
    <w:link w:val="CorpodetextoChar"/>
    <w:qFormat/>
    <w:rsid w:val="00937552"/>
    <w:pPr>
      <w:autoSpaceDE w:val="0"/>
      <w:autoSpaceDN w:val="0"/>
      <w:adjustRightInd w:val="0"/>
      <w:ind w:left="3" w:hanging="53"/>
    </w:pPr>
    <w:rPr>
      <w:rFonts w:ascii="Calibri" w:eastAsia="Calibri" w:hAnsi="Calibri" w:cs="Calibri"/>
      <w:b/>
      <w:bCs/>
      <w:sz w:val="12"/>
      <w:szCs w:val="12"/>
      <w:lang w:eastAsia="en-US"/>
    </w:rPr>
  </w:style>
  <w:style w:type="character" w:customStyle="1" w:styleId="CorpodetextoChar">
    <w:name w:val="Corpo de texto Char"/>
    <w:basedOn w:val="Fontepargpadro"/>
    <w:link w:val="Corpodetexto"/>
    <w:uiPriority w:val="1"/>
    <w:rsid w:val="00937552"/>
    <w:rPr>
      <w:rFonts w:ascii="Calibri" w:hAnsi="Calibri" w:cs="Calibri"/>
      <w:b/>
      <w:bCs/>
      <w:sz w:val="12"/>
      <w:szCs w:val="12"/>
    </w:rPr>
  </w:style>
  <w:style w:type="paragraph" w:styleId="PargrafodaLista">
    <w:name w:val="List Paragraph"/>
    <w:basedOn w:val="Normal"/>
    <w:uiPriority w:val="34"/>
    <w:qFormat/>
    <w:rsid w:val="00937552"/>
    <w:pPr>
      <w:autoSpaceDE w:val="0"/>
      <w:autoSpaceDN w:val="0"/>
      <w:adjustRightInd w:val="0"/>
    </w:pPr>
    <w:rPr>
      <w:rFonts w:eastAsia="Calibri"/>
      <w:lang w:eastAsia="en-US"/>
    </w:rPr>
  </w:style>
  <w:style w:type="paragraph" w:customStyle="1" w:styleId="TableParagraph">
    <w:name w:val="Table Paragraph"/>
    <w:basedOn w:val="Normal"/>
    <w:uiPriority w:val="1"/>
    <w:qFormat/>
    <w:rsid w:val="00937552"/>
    <w:pPr>
      <w:autoSpaceDE w:val="0"/>
      <w:autoSpaceDN w:val="0"/>
      <w:adjustRightInd w:val="0"/>
    </w:pPr>
    <w:rPr>
      <w:rFonts w:eastAsia="Calibri"/>
      <w:lang w:eastAsia="en-US"/>
    </w:rPr>
  </w:style>
  <w:style w:type="paragraph" w:styleId="Commarcadores">
    <w:name w:val="List Bullet"/>
    <w:basedOn w:val="Normal"/>
    <w:uiPriority w:val="99"/>
    <w:unhideWhenUsed/>
    <w:rsid w:val="0047119F"/>
    <w:pPr>
      <w:numPr>
        <w:numId w:val="3"/>
      </w:numPr>
      <w:contextualSpacing/>
    </w:pPr>
  </w:style>
  <w:style w:type="paragraph" w:customStyle="1" w:styleId="05-Pargrafodetexto-CLG">
    <w:name w:val="05 - Parágrafo de texto - CLG"/>
    <w:link w:val="05-Pargrafodetexto-CLGChar"/>
    <w:rsid w:val="005E51F8"/>
    <w:pPr>
      <w:spacing w:after="360"/>
      <w:ind w:firstLine="1418"/>
      <w:jc w:val="both"/>
    </w:pPr>
    <w:rPr>
      <w:rFonts w:eastAsia="Times New Roman"/>
      <w:sz w:val="28"/>
    </w:rPr>
  </w:style>
  <w:style w:type="character" w:customStyle="1" w:styleId="05-Pargrafodetexto-CLGChar">
    <w:name w:val="05 - Parágrafo de texto - CLG Char"/>
    <w:link w:val="05-Pargrafodetexto-CLG"/>
    <w:rsid w:val="000147A2"/>
    <w:rPr>
      <w:rFonts w:eastAsia="Times New Roman"/>
      <w:sz w:val="28"/>
      <w:lang w:bidi="ar-SA"/>
    </w:rPr>
  </w:style>
  <w:style w:type="character" w:styleId="Nmerodepgina">
    <w:name w:val="page number"/>
    <w:basedOn w:val="Fontepargpadro"/>
    <w:semiHidden/>
    <w:rsid w:val="000147A2"/>
  </w:style>
  <w:style w:type="character" w:customStyle="1" w:styleId="03-Ementa-CLGChar">
    <w:name w:val="03 - Ementa - CLG Char"/>
    <w:rsid w:val="000147A2"/>
    <w:rPr>
      <w:bCs/>
      <w:i/>
      <w:iCs/>
      <w:sz w:val="24"/>
      <w:szCs w:val="24"/>
      <w:lang w:val="pt-BR" w:eastAsia="pt-BR" w:bidi="ar-SA"/>
    </w:rPr>
  </w:style>
  <w:style w:type="paragraph" w:customStyle="1" w:styleId="Default">
    <w:name w:val="Default"/>
    <w:rsid w:val="000147A2"/>
    <w:pPr>
      <w:autoSpaceDE w:val="0"/>
      <w:autoSpaceDN w:val="0"/>
      <w:adjustRightInd w:val="0"/>
    </w:pPr>
    <w:rPr>
      <w:rFonts w:eastAsia="Times New Roman"/>
      <w:color w:val="000000"/>
      <w:sz w:val="24"/>
      <w:szCs w:val="24"/>
    </w:rPr>
  </w:style>
  <w:style w:type="paragraph" w:styleId="Textodenotaderodap">
    <w:name w:val="footnote text"/>
    <w:basedOn w:val="Normal"/>
    <w:link w:val="TextodenotaderodapChar"/>
    <w:semiHidden/>
    <w:unhideWhenUsed/>
    <w:rsid w:val="000147A2"/>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semiHidden/>
    <w:rsid w:val="000147A2"/>
    <w:rPr>
      <w:rFonts w:ascii="Calibri" w:hAnsi="Calibri"/>
      <w:lang w:eastAsia="en-US"/>
    </w:rPr>
  </w:style>
  <w:style w:type="character" w:styleId="Refdenotaderodap">
    <w:name w:val="footnote reference"/>
    <w:semiHidden/>
    <w:unhideWhenUsed/>
    <w:rsid w:val="000147A2"/>
    <w:rPr>
      <w:vertAlign w:val="superscript"/>
    </w:rPr>
  </w:style>
  <w:style w:type="character" w:styleId="Refdecomentrio">
    <w:name w:val="annotation reference"/>
    <w:semiHidden/>
    <w:rsid w:val="000147A2"/>
    <w:rPr>
      <w:sz w:val="16"/>
      <w:szCs w:val="16"/>
    </w:rPr>
  </w:style>
  <w:style w:type="character" w:customStyle="1" w:styleId="TextodecomentrioChar">
    <w:name w:val="Texto de comentário Char"/>
    <w:basedOn w:val="Fontepargpadro"/>
    <w:link w:val="Textodecomentrio"/>
    <w:semiHidden/>
    <w:rsid w:val="000147A2"/>
    <w:rPr>
      <w:rFonts w:eastAsia="Times New Roman"/>
    </w:rPr>
  </w:style>
  <w:style w:type="paragraph" w:styleId="Textodecomentrio">
    <w:name w:val="annotation text"/>
    <w:basedOn w:val="Normal"/>
    <w:link w:val="TextodecomentrioChar"/>
    <w:semiHidden/>
    <w:rsid w:val="000147A2"/>
    <w:rPr>
      <w:sz w:val="20"/>
      <w:szCs w:val="20"/>
    </w:rPr>
  </w:style>
  <w:style w:type="character" w:customStyle="1" w:styleId="AssuntodocomentrioChar">
    <w:name w:val="Assunto do comentário Char"/>
    <w:basedOn w:val="TextodecomentrioChar"/>
    <w:link w:val="Assuntodocomentrio"/>
    <w:semiHidden/>
    <w:rsid w:val="000147A2"/>
    <w:rPr>
      <w:b/>
      <w:bCs/>
    </w:rPr>
  </w:style>
  <w:style w:type="paragraph" w:styleId="Assuntodocomentrio">
    <w:name w:val="annotation subject"/>
    <w:basedOn w:val="Textodecomentrio"/>
    <w:next w:val="Textodecomentrio"/>
    <w:link w:val="AssuntodocomentrioChar"/>
    <w:semiHidden/>
    <w:rsid w:val="000147A2"/>
    <w:rPr>
      <w:b/>
      <w:bCs/>
    </w:rPr>
  </w:style>
  <w:style w:type="paragraph" w:customStyle="1" w:styleId="Recuodecorpodetexto21">
    <w:name w:val="Recuo de corpo de texto 21"/>
    <w:basedOn w:val="Normal"/>
    <w:rsid w:val="000147A2"/>
    <w:pPr>
      <w:spacing w:before="120" w:after="120"/>
      <w:ind w:firstLine="1701"/>
      <w:jc w:val="both"/>
    </w:pPr>
    <w:rPr>
      <w:sz w:val="28"/>
      <w:szCs w:val="20"/>
    </w:rPr>
  </w:style>
  <w:style w:type="character" w:styleId="Hyperlink">
    <w:name w:val="Hyperlink"/>
    <w:basedOn w:val="Fontepargpadro"/>
    <w:uiPriority w:val="99"/>
    <w:unhideWhenUsed/>
    <w:rsid w:val="000147A2"/>
    <w:rPr>
      <w:color w:val="0000FF"/>
      <w:u w:val="single"/>
    </w:rPr>
  </w:style>
  <w:style w:type="paragraph" w:styleId="NormalWeb">
    <w:name w:val="Normal (Web)"/>
    <w:basedOn w:val="Normal"/>
    <w:uiPriority w:val="99"/>
    <w:semiHidden/>
    <w:unhideWhenUsed/>
    <w:rsid w:val="005268E7"/>
    <w:pPr>
      <w:spacing w:before="100" w:beforeAutospacing="1" w:after="100" w:afterAutospacing="1"/>
    </w:pPr>
  </w:style>
  <w:style w:type="paragraph" w:customStyle="1" w:styleId="A5-1TextoAcordo">
    <w:name w:val="A5-1_Texto Acordo*"/>
    <w:rsid w:val="00CF2FCB"/>
    <w:pPr>
      <w:spacing w:before="60" w:after="120"/>
      <w:ind w:firstLine="1134"/>
      <w:jc w:val="both"/>
    </w:pPr>
    <w:rPr>
      <w:rFonts w:ascii="Arial" w:eastAsia="Times New Roman" w:hAnsi="Arial" w:cs="Arial"/>
    </w:rPr>
  </w:style>
  <w:style w:type="paragraph" w:styleId="SemEspaamento">
    <w:name w:val="No Spacing"/>
    <w:uiPriority w:val="1"/>
    <w:qFormat/>
    <w:rsid w:val="006D2567"/>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9E068-BBFA-47C2-912D-53495C967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3005</Words>
  <Characters>16231</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19198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elidoall</dc:creator>
  <cp:lastModifiedBy>carolfm</cp:lastModifiedBy>
  <cp:revision>2</cp:revision>
  <cp:lastPrinted>2015-08-26T15:08:00Z</cp:lastPrinted>
  <dcterms:created xsi:type="dcterms:W3CDTF">2015-08-26T17:45:00Z</dcterms:created>
  <dcterms:modified xsi:type="dcterms:W3CDTF">2015-08-26T17:45:00Z</dcterms:modified>
</cp:coreProperties>
</file>