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1AD" w:rsidRDefault="003811AD" w:rsidP="003811AD">
      <w:pPr>
        <w:pStyle w:val="02-TtuloPrincipal-CLG"/>
        <w:spacing w:after="120"/>
      </w:pPr>
      <w:r>
        <w:t>PROJETO DE LEI DE CONVERSÃO Nº</w:t>
      </w:r>
      <w:r w:rsidR="002F1CC8">
        <w:t xml:space="preserve"> </w:t>
      </w:r>
      <w:r w:rsidR="00F66C77">
        <w:t>27</w:t>
      </w:r>
      <w:r>
        <w:t>, DE 2015</w:t>
      </w:r>
    </w:p>
    <w:p w:rsidR="003811AD" w:rsidRPr="00FA1FD2" w:rsidRDefault="003811AD" w:rsidP="003811AD">
      <w:pPr>
        <w:pStyle w:val="02-TtuloPrincipal-CLG"/>
        <w:rPr>
          <w:sz w:val="28"/>
        </w:rPr>
      </w:pPr>
      <w:r>
        <w:rPr>
          <w:sz w:val="28"/>
        </w:rPr>
        <w:t>(À</w:t>
      </w:r>
      <w:r w:rsidRPr="00FA1FD2">
        <w:rPr>
          <w:sz w:val="28"/>
        </w:rPr>
        <w:t xml:space="preserve"> MEDIDA PROVISÓRIA Nº </w:t>
      </w:r>
      <w:r w:rsidR="00987BB2">
        <w:rPr>
          <w:sz w:val="28"/>
        </w:rPr>
        <w:t>69</w:t>
      </w:r>
      <w:r w:rsidR="00705286">
        <w:rPr>
          <w:sz w:val="28"/>
        </w:rPr>
        <w:t>2</w:t>
      </w:r>
      <w:r w:rsidRPr="00FA1FD2">
        <w:rPr>
          <w:sz w:val="28"/>
        </w:rPr>
        <w:t>, DE 201</w:t>
      </w:r>
      <w:r>
        <w:rPr>
          <w:sz w:val="28"/>
        </w:rPr>
        <w:t>5</w:t>
      </w:r>
      <w:r w:rsidRPr="00FA1FD2">
        <w:rPr>
          <w:sz w:val="28"/>
        </w:rPr>
        <w:t>)</w:t>
      </w:r>
    </w:p>
    <w:p w:rsidR="00F66C77" w:rsidRPr="00641EE0" w:rsidRDefault="00F66C77" w:rsidP="00F66C77">
      <w:pPr>
        <w:spacing w:after="960"/>
        <w:ind w:left="3686"/>
        <w:jc w:val="both"/>
        <w:rPr>
          <w:iCs/>
        </w:rPr>
      </w:pPr>
      <w:r w:rsidRPr="00641EE0">
        <w:rPr>
          <w:iCs/>
        </w:rPr>
        <w:t>Altera a Lei nº 8.981, de 20 de janeiro de 1995, para dispor acerca da incidência de imposto sobre a renda na hipótese de ganho de capital em decorrência da alienação de bens e direitos de qualquer natureza</w:t>
      </w:r>
      <w:r>
        <w:rPr>
          <w:iCs/>
        </w:rPr>
        <w:t>, altera a Lei nº 12.973 de 13 de maio de 2014, para possibilitar opção de tributação de empresas coligadas no exterior na forma de empresas controladas, e regulamenta o inciso XI do art. 156 da Lei nº 5.172, de 25 de outubro de 1966 (Código Tributário Nacional)</w:t>
      </w:r>
      <w:r w:rsidRPr="00641EE0">
        <w:rPr>
          <w:iCs/>
        </w:rPr>
        <w:t>.</w:t>
      </w:r>
    </w:p>
    <w:p w:rsidR="00F66C77" w:rsidRDefault="00F66C77" w:rsidP="00F66C77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left="141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CONGRESSO NACIONAL resolve:</w:t>
      </w:r>
    </w:p>
    <w:p w:rsidR="00F66C77" w:rsidRDefault="00F66C77" w:rsidP="00F66C77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firstLine="1418"/>
        <w:jc w:val="both"/>
        <w:rPr>
          <w:rFonts w:ascii="Times New Roman" w:hAnsi="Times New Roman"/>
          <w:sz w:val="28"/>
        </w:rPr>
      </w:pPr>
      <w:r w:rsidRPr="00ED7709">
        <w:rPr>
          <w:rFonts w:ascii="Times New Roman Bold" w:hAnsi="Times New Roman Bold"/>
          <w:b/>
          <w:sz w:val="28"/>
        </w:rPr>
        <w:t>Art. 1º</w:t>
      </w:r>
      <w:r>
        <w:rPr>
          <w:rFonts w:ascii="Times New Roman" w:hAnsi="Times New Roman"/>
          <w:sz w:val="28"/>
        </w:rPr>
        <w:t xml:space="preserve"> A Lei nº 8.981, de 20 de janeiro de 1995, passa a vigorar com as seguintes alterações:</w:t>
      </w:r>
    </w:p>
    <w:p w:rsidR="00F66C77" w:rsidRDefault="00F66C77" w:rsidP="00F66C77">
      <w:pPr>
        <w:pStyle w:val="07-Citaolegal-CLG"/>
      </w:pPr>
      <w:r>
        <w:t>“</w:t>
      </w:r>
      <w:r w:rsidRPr="0016771D">
        <w:t>Art. 21. O ganho de capital percebido por pessoa física</w:t>
      </w:r>
      <w:r>
        <w:t xml:space="preserve"> </w:t>
      </w:r>
      <w:r w:rsidRPr="0016771D">
        <w:t xml:space="preserve">em decorrência da alienação de bens e direitos de qualquer natureza </w:t>
      </w:r>
      <w:proofErr w:type="gramStart"/>
      <w:r w:rsidRPr="0016771D">
        <w:t>sujeita-se</w:t>
      </w:r>
      <w:proofErr w:type="gramEnd"/>
      <w:r w:rsidRPr="0016771D">
        <w:t xml:space="preserve"> à incidência do imposto sobre a renda, com as seguintes alíquotas:</w:t>
      </w:r>
    </w:p>
    <w:p w:rsidR="00F66C77" w:rsidRPr="001A1F8F" w:rsidRDefault="00F66C77" w:rsidP="00F66C77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  <w:shd w:val="clear" w:color="auto" w:fill="FFFF33"/>
          <w:lang w:val="pt-BR"/>
        </w:rPr>
      </w:pPr>
    </w:p>
    <w:p w:rsidR="00F66C77" w:rsidRPr="00321F0D" w:rsidRDefault="00F66C77" w:rsidP="00F66C77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 w:rsidRPr="00321F0D">
        <w:rPr>
          <w:rFonts w:ascii="Times New Roman" w:hAnsi="Times New Roman"/>
        </w:rPr>
        <w:t>I - 15% (quinze por cento) sobre a parcela dos</w:t>
      </w:r>
      <w:r>
        <w:rPr>
          <w:rFonts w:ascii="Times New Roman" w:hAnsi="Times New Roman"/>
        </w:rPr>
        <w:t xml:space="preserve"> ganhos que não ultrapassar R$ 5.000.000,00 (cinco milhões</w:t>
      </w:r>
      <w:r w:rsidRPr="00321F0D">
        <w:rPr>
          <w:rFonts w:ascii="Times New Roman" w:hAnsi="Times New Roman"/>
        </w:rPr>
        <w:t xml:space="preserve"> de reais);</w:t>
      </w:r>
    </w:p>
    <w:p w:rsidR="00F66C77" w:rsidRPr="00321F0D" w:rsidRDefault="00F66C77" w:rsidP="00F66C77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 – 17,5</w:t>
      </w:r>
      <w:r w:rsidRPr="00321F0D">
        <w:rPr>
          <w:rFonts w:ascii="Times New Roman" w:hAnsi="Times New Roman"/>
        </w:rPr>
        <w:t>% (</w:t>
      </w:r>
      <w:r>
        <w:rPr>
          <w:rFonts w:ascii="Times New Roman" w:hAnsi="Times New Roman"/>
        </w:rPr>
        <w:t xml:space="preserve">dezessete e meio </w:t>
      </w:r>
      <w:r w:rsidRPr="00321F0D">
        <w:rPr>
          <w:rFonts w:ascii="Times New Roman" w:hAnsi="Times New Roman"/>
        </w:rPr>
        <w:t>por cento) sobre a par</w:t>
      </w:r>
      <w:r>
        <w:rPr>
          <w:rFonts w:ascii="Times New Roman" w:hAnsi="Times New Roman"/>
        </w:rPr>
        <w:t>cela dos ganhos que exceder R$ 5.000.000,00 (cinco milhões</w:t>
      </w:r>
      <w:r w:rsidRPr="00321F0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de reais) e não ultrapassar R$ 10.000.000,00 (dez </w:t>
      </w:r>
      <w:r w:rsidRPr="00321F0D">
        <w:rPr>
          <w:rFonts w:ascii="Times New Roman" w:hAnsi="Times New Roman"/>
        </w:rPr>
        <w:t xml:space="preserve"> milhões de reais);</w:t>
      </w:r>
    </w:p>
    <w:p w:rsidR="00F66C77" w:rsidRPr="00321F0D" w:rsidRDefault="00F66C77" w:rsidP="00F66C77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III – 20</w:t>
      </w:r>
      <w:r w:rsidRPr="00321F0D">
        <w:rPr>
          <w:rFonts w:ascii="Times New Roman" w:hAnsi="Times New Roman"/>
        </w:rPr>
        <w:t>% (vinte por cento) sobre a par</w:t>
      </w:r>
      <w:r>
        <w:rPr>
          <w:rFonts w:ascii="Times New Roman" w:hAnsi="Times New Roman"/>
        </w:rPr>
        <w:t>cela dos ganhos que exceder R$ 10.000.000,00 (dez</w:t>
      </w:r>
      <w:r w:rsidRPr="00321F0D">
        <w:rPr>
          <w:rFonts w:ascii="Times New Roman" w:hAnsi="Times New Roman"/>
        </w:rPr>
        <w:t xml:space="preserve"> milhões de reais) e não ultrap</w:t>
      </w:r>
      <w:r>
        <w:rPr>
          <w:rFonts w:ascii="Times New Roman" w:hAnsi="Times New Roman"/>
        </w:rPr>
        <w:t>assar R$ 30.000.000,00 (trinta</w:t>
      </w:r>
      <w:r w:rsidRPr="00321F0D">
        <w:rPr>
          <w:rFonts w:ascii="Times New Roman" w:hAnsi="Times New Roman"/>
        </w:rPr>
        <w:t xml:space="preserve"> milhões de reais); e</w:t>
      </w:r>
    </w:p>
    <w:p w:rsidR="00F66C77" w:rsidRDefault="00F66C77" w:rsidP="00F66C77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 w:rsidRPr="00321F0D">
        <w:rPr>
          <w:rFonts w:ascii="Times New Roman" w:hAnsi="Times New Roman"/>
        </w:rPr>
        <w:t>IV –</w:t>
      </w:r>
      <w:r w:rsidR="00244F1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22,5</w:t>
      </w:r>
      <w:r w:rsidRPr="00321F0D">
        <w:rPr>
          <w:rFonts w:ascii="Times New Roman" w:hAnsi="Times New Roman"/>
        </w:rPr>
        <w:t>% (</w:t>
      </w:r>
      <w:r>
        <w:rPr>
          <w:rFonts w:ascii="Times New Roman" w:hAnsi="Times New Roman"/>
        </w:rPr>
        <w:t xml:space="preserve">vinte e dois e meio </w:t>
      </w:r>
      <w:r w:rsidRPr="00321F0D">
        <w:rPr>
          <w:rFonts w:ascii="Times New Roman" w:hAnsi="Times New Roman"/>
        </w:rPr>
        <w:t>por cento) sobre a parcela</w:t>
      </w:r>
      <w:r>
        <w:rPr>
          <w:rFonts w:ascii="Times New Roman" w:hAnsi="Times New Roman"/>
        </w:rPr>
        <w:t xml:space="preserve"> dos ganhos que ultrapassar R$ 30.000.000,00 (trinta milhões </w:t>
      </w:r>
      <w:r w:rsidRPr="00321F0D">
        <w:rPr>
          <w:rFonts w:ascii="Times New Roman" w:hAnsi="Times New Roman"/>
        </w:rPr>
        <w:t>de reais).</w:t>
      </w:r>
    </w:p>
    <w:p w:rsidR="00F66C77" w:rsidRDefault="00F66C77" w:rsidP="00F66C77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..................................................................................................</w:t>
      </w:r>
    </w:p>
    <w:p w:rsidR="00F66C77" w:rsidRDefault="00F66C77" w:rsidP="00F66C77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3º Na hipótese de alienação em partes do mesmo bem ou direito, a partir da segunda operação, desde que realizada até o final do ano-calendário seguinte ao da primeira operação, o ganho de capital deve ser somado aos ganhos auferidos nas operações anteriores, para fins da apuração do imposto na forma do </w:t>
      </w:r>
      <w:r>
        <w:rPr>
          <w:rFonts w:ascii="Times New Roman Italic" w:hAnsi="Times New Roman Italic"/>
        </w:rPr>
        <w:t>caput</w:t>
      </w:r>
      <w:r>
        <w:rPr>
          <w:rFonts w:ascii="Times New Roman" w:hAnsi="Times New Roman"/>
        </w:rPr>
        <w:t>, deduzindo-se o montante do imposto pago nas operações anteriores.</w:t>
      </w:r>
    </w:p>
    <w:p w:rsidR="00F66C77" w:rsidRDefault="00F66C77" w:rsidP="00244F19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24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§ 4º Para fins do disposto neste artigo, considera-se integrante do mesmo bem ou direito o conjunto de ações ou quotas de uma mesma pessoa jurídica.</w:t>
      </w:r>
    </w:p>
    <w:p w:rsidR="00F66C77" w:rsidRDefault="00F66C77" w:rsidP="00F66C77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480"/>
        <w:ind w:left="1985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5º Os valores dos ganhos de que tratam os incisos I a IV do </w:t>
      </w:r>
      <w:r>
        <w:rPr>
          <w:rFonts w:ascii="Times New Roman Italic" w:hAnsi="Times New Roman Italic"/>
        </w:rPr>
        <w:t>caput</w:t>
      </w:r>
      <w:r>
        <w:rPr>
          <w:rFonts w:ascii="Times New Roman" w:hAnsi="Times New Roman"/>
        </w:rPr>
        <w:t xml:space="preserve"> serão ajustados no mesmo percentual aplicado para o ajuste do valor da faixa da tabela progressiva mensal do imposto sobre a renda de pessoas físicas correspondente à menor alíquota.” (NR)</w:t>
      </w:r>
    </w:p>
    <w:p w:rsidR="00F66C77" w:rsidRDefault="00F66C77" w:rsidP="00F66C77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firstLine="1418"/>
        <w:jc w:val="both"/>
        <w:rPr>
          <w:rFonts w:ascii="Times New Roman" w:hAnsi="Times New Roman"/>
          <w:sz w:val="28"/>
        </w:rPr>
      </w:pPr>
      <w:r w:rsidRPr="00ED7709">
        <w:rPr>
          <w:rFonts w:ascii="Times New Roman Bold" w:hAnsi="Times New Roman Bold"/>
          <w:b/>
          <w:sz w:val="28"/>
        </w:rPr>
        <w:t>Art. 2º</w:t>
      </w:r>
      <w:r>
        <w:rPr>
          <w:rFonts w:ascii="Times New Roman" w:hAnsi="Times New Roman"/>
          <w:sz w:val="28"/>
        </w:rPr>
        <w:t xml:space="preserve"> O ganho de capital percebido por pessoa jurídica em decorrência da alienação de bens e direitos do ativo não-circulante sujeita-se à incidência do imposto sobre a renda, com a aplicação das alíquotas do </w:t>
      </w:r>
      <w:r w:rsidRPr="000E5009">
        <w:rPr>
          <w:rFonts w:ascii="Times New Roman Italic" w:hAnsi="Times New Roman Italic"/>
          <w:i/>
          <w:sz w:val="28"/>
        </w:rPr>
        <w:t>caput</w:t>
      </w:r>
      <w:r>
        <w:rPr>
          <w:rFonts w:ascii="Times New Roman" w:hAnsi="Times New Roman"/>
          <w:sz w:val="28"/>
        </w:rPr>
        <w:t xml:space="preserve"> do art. 21 da Lei nº 8.981, de 20 de janeiro, de 1995, e do disposto nos §§ 1º, 3º e 4º do referido artigo, exceto para as pessoas jurídicas tributadas com base no lucro real, presumido ou arbitrado.</w:t>
      </w:r>
    </w:p>
    <w:p w:rsidR="00F66C77" w:rsidRDefault="00F66C77" w:rsidP="00F66C77">
      <w:pPr>
        <w:pStyle w:val="FormaLivre"/>
        <w:tabs>
          <w:tab w:val="left" w:pos="560"/>
          <w:tab w:val="left" w:pos="1120"/>
          <w:tab w:val="left" w:pos="1418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right="141"/>
        <w:jc w:val="both"/>
        <w:rPr>
          <w:rFonts w:ascii="Times New Roman Bold" w:hAnsi="Times New Roman Bold"/>
          <w:sz w:val="28"/>
        </w:rPr>
      </w:pPr>
      <w:r>
        <w:rPr>
          <w:rFonts w:ascii="Times New Roman Bold" w:hAnsi="Times New Roman Bold"/>
          <w:sz w:val="28"/>
        </w:rPr>
        <w:tab/>
      </w:r>
      <w:r>
        <w:rPr>
          <w:rFonts w:ascii="Times New Roman Bold" w:hAnsi="Times New Roman Bold"/>
          <w:sz w:val="28"/>
        </w:rPr>
        <w:tab/>
      </w:r>
      <w:r>
        <w:rPr>
          <w:rFonts w:ascii="Times New Roman Bold" w:hAnsi="Times New Roman Bold"/>
          <w:sz w:val="28"/>
        </w:rPr>
        <w:tab/>
      </w:r>
      <w:r w:rsidRPr="00ED7709">
        <w:rPr>
          <w:rFonts w:ascii="Times New Roman Bold" w:hAnsi="Times New Roman Bold"/>
          <w:b/>
          <w:sz w:val="28"/>
        </w:rPr>
        <w:t>Art. 3º</w:t>
      </w:r>
      <w:r>
        <w:rPr>
          <w:rFonts w:ascii="Times New Roman Bold" w:hAnsi="Times New Roman Bold"/>
          <w:b/>
          <w:sz w:val="28"/>
        </w:rPr>
        <w:t xml:space="preserve"> </w:t>
      </w:r>
      <w:r w:rsidRPr="009F6A24">
        <w:rPr>
          <w:rFonts w:ascii="Times New Roman Bold" w:hAnsi="Times New Roman Bold"/>
          <w:sz w:val="28"/>
        </w:rPr>
        <w:t>A Lei nº 12.973, de 13 de maio de 2014,</w:t>
      </w:r>
      <w:r>
        <w:rPr>
          <w:rFonts w:ascii="Times New Roman Bold" w:hAnsi="Times New Roman Bold"/>
          <w:b/>
          <w:sz w:val="28"/>
        </w:rPr>
        <w:t xml:space="preserve"> </w:t>
      </w:r>
      <w:r>
        <w:rPr>
          <w:rFonts w:ascii="Times New Roman Bold" w:hAnsi="Times New Roman Bold"/>
          <w:sz w:val="28"/>
        </w:rPr>
        <w:t>passa a vigorar acrescida do seguinte art. 82-A:</w:t>
      </w:r>
    </w:p>
    <w:p w:rsidR="00F66C77" w:rsidRDefault="00F66C77" w:rsidP="00F66C77">
      <w:pPr>
        <w:pStyle w:val="07-Citaolegal-CLG"/>
      </w:pPr>
      <w:r>
        <w:t>“Art. 82-A</w:t>
      </w:r>
      <w:r w:rsidRPr="0016771D">
        <w:t>. O</w:t>
      </w:r>
      <w:r>
        <w:t xml:space="preserve">pcionalmente, a pessoa jurídica domiciliada no Brasil poderá oferecer à tributação os lucros auferidos por intermédio de suas coligadas no exterior na forma prevista no art. 82, independentemente do descumprimento das condições previstas no </w:t>
      </w:r>
      <w:r>
        <w:rPr>
          <w:i/>
        </w:rPr>
        <w:t xml:space="preserve">caput </w:t>
      </w:r>
      <w:r>
        <w:t>do art. 81.</w:t>
      </w:r>
    </w:p>
    <w:p w:rsidR="00F66C77" w:rsidRDefault="00F66C77" w:rsidP="00F66C77">
      <w:pPr>
        <w:pStyle w:val="07-Citaolegal-CLG"/>
      </w:pPr>
      <w:r>
        <w:t>§ 1º O disposto neste artigo não se aplica às hipóteses em que a pessoa jurídica coligada domiciliada no Brasil é equiparada à controladora, nos termos do art. 83.</w:t>
      </w:r>
    </w:p>
    <w:p w:rsidR="00F66C77" w:rsidRPr="002409C6" w:rsidRDefault="00F66C77" w:rsidP="00F66C77">
      <w:pPr>
        <w:pStyle w:val="07-Citaolegal-CLG"/>
      </w:pPr>
      <w:r>
        <w:t xml:space="preserve">§ 2º A Secretaria da Receita Federal do Brasil estabelecerá a forma e as condições para a opção de que trata o </w:t>
      </w:r>
      <w:proofErr w:type="gramStart"/>
      <w:r>
        <w:rPr>
          <w:i/>
        </w:rPr>
        <w:t>caput.</w:t>
      </w:r>
      <w:r>
        <w:t>”</w:t>
      </w:r>
      <w:proofErr w:type="gramEnd"/>
    </w:p>
    <w:p w:rsidR="00F66C77" w:rsidRPr="001A1F8F" w:rsidRDefault="00F66C77" w:rsidP="00F66C77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left="1985" w:firstLine="567"/>
        <w:jc w:val="both"/>
        <w:rPr>
          <w:rFonts w:ascii="Times New Roman" w:hAnsi="Times New Roman"/>
          <w:shd w:val="clear" w:color="auto" w:fill="FFFF33"/>
          <w:lang w:val="pt-BR"/>
        </w:rPr>
      </w:pPr>
    </w:p>
    <w:p w:rsidR="00F66C77" w:rsidRDefault="00F66C77" w:rsidP="00F66C77">
      <w:pPr>
        <w:pStyle w:val="FormaLivre"/>
        <w:tabs>
          <w:tab w:val="left" w:pos="560"/>
          <w:tab w:val="left" w:pos="1120"/>
          <w:tab w:val="left" w:pos="1418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right="141" w:firstLine="1418"/>
        <w:jc w:val="both"/>
        <w:rPr>
          <w:rFonts w:ascii="Times New Roman Bold" w:hAnsi="Times New Roman Bold"/>
          <w:sz w:val="28"/>
        </w:rPr>
      </w:pPr>
      <w:r>
        <w:rPr>
          <w:rFonts w:ascii="Times New Roman Bold" w:hAnsi="Times New Roman Bold"/>
          <w:sz w:val="28"/>
        </w:rPr>
        <w:lastRenderedPageBreak/>
        <w:t xml:space="preserve"> </w:t>
      </w:r>
      <w:r>
        <w:rPr>
          <w:rFonts w:ascii="Times New Roman Bold" w:hAnsi="Times New Roman Bold"/>
          <w:b/>
          <w:sz w:val="28"/>
        </w:rPr>
        <w:t xml:space="preserve">Art. 4º </w:t>
      </w:r>
      <w:r w:rsidRPr="00183080">
        <w:rPr>
          <w:rFonts w:ascii="Times New Roman Bold" w:hAnsi="Times New Roman Bold"/>
          <w:sz w:val="28"/>
        </w:rPr>
        <w:t>A extinção do crédito trib</w:t>
      </w:r>
      <w:r>
        <w:rPr>
          <w:rFonts w:ascii="Times New Roman Bold" w:hAnsi="Times New Roman Bold"/>
          <w:sz w:val="28"/>
        </w:rPr>
        <w:t>utário pela dação em pagamento em imóveis, na forma do inciso XI do art. 156 da Lei nº 5172, de 25 de outubro de 1966, atenderá às seguintes condições:</w:t>
      </w:r>
    </w:p>
    <w:p w:rsidR="00F66C77" w:rsidRDefault="00F66C77" w:rsidP="00F66C77">
      <w:pPr>
        <w:pStyle w:val="FormaLivre"/>
        <w:tabs>
          <w:tab w:val="left" w:pos="560"/>
          <w:tab w:val="left" w:pos="1120"/>
          <w:tab w:val="left" w:pos="1418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right="141" w:firstLine="1418"/>
        <w:jc w:val="both"/>
        <w:rPr>
          <w:rFonts w:ascii="Times New Roman Bold" w:hAnsi="Times New Roman Bold"/>
          <w:sz w:val="28"/>
          <w:lang w:val="pt-BR"/>
        </w:rPr>
      </w:pPr>
      <w:r>
        <w:rPr>
          <w:rFonts w:ascii="Times New Roman Bold" w:hAnsi="Times New Roman Bold"/>
          <w:sz w:val="28"/>
          <w:lang w:val="pt-BR"/>
        </w:rPr>
        <w:t xml:space="preserve">I – </w:t>
      </w:r>
      <w:proofErr w:type="gramStart"/>
      <w:r>
        <w:rPr>
          <w:rFonts w:ascii="Times New Roman Bold" w:hAnsi="Times New Roman Bold"/>
          <w:sz w:val="28"/>
          <w:lang w:val="pt-BR"/>
        </w:rPr>
        <w:t>será</w:t>
      </w:r>
      <w:proofErr w:type="gramEnd"/>
      <w:r>
        <w:rPr>
          <w:rFonts w:ascii="Times New Roman Bold" w:hAnsi="Times New Roman Bold"/>
          <w:sz w:val="28"/>
          <w:lang w:val="pt-BR"/>
        </w:rPr>
        <w:t xml:space="preserve"> precedida de a</w:t>
      </w:r>
      <w:r w:rsidRPr="00183080">
        <w:rPr>
          <w:rFonts w:ascii="Times New Roman Bold" w:hAnsi="Times New Roman Bold"/>
          <w:sz w:val="28"/>
          <w:lang w:val="pt-BR"/>
        </w:rPr>
        <w:t xml:space="preserve">valiação judicial do bem ou bens ofertados, segundo critérios de mercado; </w:t>
      </w:r>
    </w:p>
    <w:p w:rsidR="00F66C77" w:rsidRPr="00901788" w:rsidRDefault="00F66C77" w:rsidP="00F66C77">
      <w:pPr>
        <w:pStyle w:val="FormaLivre"/>
        <w:tabs>
          <w:tab w:val="left" w:pos="560"/>
          <w:tab w:val="left" w:pos="1120"/>
          <w:tab w:val="left" w:pos="1418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right="141" w:firstLine="1418"/>
        <w:jc w:val="both"/>
        <w:rPr>
          <w:rFonts w:ascii="Times New Roman Bold" w:hAnsi="Times New Roman Bold"/>
          <w:b/>
          <w:sz w:val="28"/>
          <w:lang w:val="pt-BR"/>
        </w:rPr>
      </w:pPr>
      <w:r w:rsidRPr="00183080">
        <w:rPr>
          <w:rFonts w:ascii="Times New Roman Bold" w:hAnsi="Times New Roman Bold"/>
          <w:sz w:val="28"/>
          <w:lang w:val="pt-BR"/>
        </w:rPr>
        <w:t xml:space="preserve">II </w:t>
      </w:r>
      <w:r w:rsidR="00C73B83">
        <w:rPr>
          <w:rFonts w:ascii="Times New Roman Bold" w:hAnsi="Times New Roman Bold"/>
          <w:sz w:val="28"/>
          <w:lang w:val="pt-BR"/>
        </w:rPr>
        <w:t xml:space="preserve">– </w:t>
      </w:r>
      <w:r w:rsidRPr="00183080">
        <w:rPr>
          <w:rFonts w:ascii="Times New Roman Bold" w:hAnsi="Times New Roman Bold"/>
          <w:sz w:val="28"/>
          <w:lang w:val="pt-BR"/>
        </w:rPr>
        <w:t>deverá abranger a totalidade do débito ou débitos que se pretende liquidar com atualização,</w:t>
      </w:r>
      <w:bookmarkStart w:id="0" w:name="_GoBack"/>
      <w:bookmarkEnd w:id="0"/>
      <w:r w:rsidRPr="00183080">
        <w:rPr>
          <w:rFonts w:ascii="Times New Roman Bold" w:hAnsi="Times New Roman Bold"/>
          <w:sz w:val="28"/>
          <w:lang w:val="pt-BR"/>
        </w:rPr>
        <w:t xml:space="preserve"> juros, multa e encargos, sem desconto de qualquer natureza, assegurando-se ao devedor a possibilidade de complementação em dinheiro de eventual diferença entre os valores da dívida e o valor do bem ou bens ofertados em dação.</w:t>
      </w:r>
    </w:p>
    <w:p w:rsidR="00F66C77" w:rsidRDefault="00F66C77" w:rsidP="00F66C77">
      <w:pPr>
        <w:pStyle w:val="FormaLivre"/>
        <w:tabs>
          <w:tab w:val="left" w:pos="560"/>
          <w:tab w:val="left" w:pos="1120"/>
          <w:tab w:val="left" w:pos="1418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right="141" w:firstLine="1418"/>
        <w:jc w:val="both"/>
        <w:rPr>
          <w:rFonts w:ascii="Times New Roman" w:hAnsi="Times New Roman"/>
          <w:sz w:val="28"/>
        </w:rPr>
      </w:pPr>
      <w:r w:rsidRPr="00901788">
        <w:rPr>
          <w:rFonts w:ascii="Times New Roman Bold" w:hAnsi="Times New Roman Bold"/>
          <w:b/>
          <w:sz w:val="28"/>
        </w:rPr>
        <w:t>Art. 5º</w:t>
      </w:r>
      <w:r>
        <w:rPr>
          <w:rFonts w:ascii="Times New Roman Bold" w:hAnsi="Times New Roman Bold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Esta Lei entra em vigor na data de sua publicação, produzindo efeitos a partir de 1º de janeiro de 2016.</w:t>
      </w:r>
    </w:p>
    <w:p w:rsidR="00F66C77" w:rsidRDefault="00F66C77" w:rsidP="00F66C77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360"/>
        <w:ind w:firstLine="141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§1º Para efeitos de interpretação, o disposto nos arts. 1º e 2º apenas produz efeitos em relação a alienações ocorridas a partir de 1º de janeiro de 2016, ficando afastada sua aplicação a operações consumadas antes dessa data, ainda que a definição ou recebimento do preço da alienação, total ou parcialmente, ocorra após 31 de dezembro de 2015.</w:t>
      </w:r>
    </w:p>
    <w:p w:rsidR="00F66C77" w:rsidRDefault="00F66C77" w:rsidP="00F66C77">
      <w:pPr>
        <w:pStyle w:val="FormaLivr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ind w:firstLine="141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§2º O ônus da prova de que a operação foi consumada até 31 de dezembro de 2015 caberá ao contribuinte, mediante a apresentação para registro, até 31 de janeiro de 2016, de documento ao Cartório de Registro de Títulos e Documentos, ou órgão oficial assemelhado, que comprove a existência e a data do negócio.</w:t>
      </w:r>
      <w:bookmarkStart w:id="1" w:name="art40§1ii"/>
      <w:bookmarkEnd w:id="1"/>
    </w:p>
    <w:p w:rsidR="00A85ECB" w:rsidRDefault="00705286" w:rsidP="00A85ECB">
      <w:pPr>
        <w:pStyle w:val="10-Local-CLG"/>
      </w:pPr>
      <w:r>
        <w:t>S</w:t>
      </w:r>
      <w:r w:rsidR="00C218D0">
        <w:t>ala da Comissão,</w:t>
      </w:r>
      <w:r w:rsidR="002F1CC8">
        <w:t xml:space="preserve"> </w:t>
      </w:r>
      <w:r>
        <w:t>9</w:t>
      </w:r>
      <w:r w:rsidR="002F1CC8">
        <w:t xml:space="preserve"> de dezembro de 2015</w:t>
      </w:r>
    </w:p>
    <w:p w:rsidR="002F1CC8" w:rsidRDefault="00F66C77" w:rsidP="00705286">
      <w:pPr>
        <w:pStyle w:val="11-Assinaturas-CLG"/>
        <w:spacing w:after="0"/>
        <w:ind w:left="0"/>
        <w:jc w:val="center"/>
      </w:pPr>
      <w:r>
        <w:t>Senador JOSÉ PIMENTEL</w:t>
      </w:r>
    </w:p>
    <w:p w:rsidR="00A85ECB" w:rsidRPr="00724990" w:rsidRDefault="00F66C77" w:rsidP="00F66C77">
      <w:pPr>
        <w:pStyle w:val="11-Assinaturas-CLG"/>
        <w:spacing w:after="0"/>
        <w:ind w:left="0"/>
        <w:jc w:val="center"/>
      </w:pPr>
      <w:r>
        <w:t>Vice-</w:t>
      </w:r>
      <w:r w:rsidR="00A85ECB">
        <w:t>Presidente</w:t>
      </w:r>
      <w:r w:rsidR="002F1CC8">
        <w:t xml:space="preserve"> da Comissão</w:t>
      </w:r>
    </w:p>
    <w:p w:rsidR="009F03FE" w:rsidRDefault="009F03FE" w:rsidP="00A85ECB">
      <w:pPr>
        <w:pStyle w:val="11-Assinaturas-CLG"/>
      </w:pPr>
    </w:p>
    <w:sectPr w:rsidR="009F03FE" w:rsidSect="0083136A">
      <w:headerReference w:type="even" r:id="rId8"/>
      <w:headerReference w:type="default" r:id="rId9"/>
      <w:footerReference w:type="first" r:id="rId10"/>
      <w:pgSz w:w="11906" w:h="16838"/>
      <w:pgMar w:top="2410" w:right="1701" w:bottom="212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5AD" w:rsidRDefault="00F975AD" w:rsidP="00A85ECB">
      <w:r>
        <w:separator/>
      </w:r>
    </w:p>
  </w:endnote>
  <w:endnote w:type="continuationSeparator" w:id="0">
    <w:p w:rsidR="00F975AD" w:rsidRDefault="00F975AD" w:rsidP="00A8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Times New Roman Bold">
    <w:altName w:val="Times New Roman"/>
    <w:charset w:val="00"/>
    <w:family w:val="roman"/>
    <w:pitch w:val="default"/>
  </w:font>
  <w:font w:name="Times New Roman Italic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A04" w:rsidRPr="00342E7D" w:rsidRDefault="00385A9D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5AD" w:rsidRDefault="00F975AD" w:rsidP="00A85ECB">
      <w:r>
        <w:separator/>
      </w:r>
    </w:p>
  </w:footnote>
  <w:footnote w:type="continuationSeparator" w:id="0">
    <w:p w:rsidR="00F975AD" w:rsidRDefault="00F975AD" w:rsidP="00A85E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A04" w:rsidRDefault="00B91DBC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3485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91A04" w:rsidRDefault="00791A04">
    <w:pPr>
      <w:pStyle w:val="Cabealho"/>
      <w:ind w:right="360"/>
    </w:pPr>
  </w:p>
  <w:p w:rsidR="00791A04" w:rsidRDefault="00791A0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A04" w:rsidRDefault="00B91DBC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3485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73B83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791A04" w:rsidRDefault="00791A04">
    <w:pPr>
      <w:pStyle w:val="Cabealho"/>
      <w:ind w:right="360"/>
    </w:pPr>
  </w:p>
  <w:p w:rsidR="00791A04" w:rsidRDefault="00791A0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54DD2"/>
    <w:multiLevelType w:val="hybridMultilevel"/>
    <w:tmpl w:val="74C2CE6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4FF121DA"/>
    <w:multiLevelType w:val="hybridMultilevel"/>
    <w:tmpl w:val="906883F6"/>
    <w:lvl w:ilvl="0" w:tplc="2F067A7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5ECB"/>
    <w:rsid w:val="00003CD9"/>
    <w:rsid w:val="00005D10"/>
    <w:rsid w:val="00012E73"/>
    <w:rsid w:val="00022BBC"/>
    <w:rsid w:val="0003485E"/>
    <w:rsid w:val="00042ED4"/>
    <w:rsid w:val="00052337"/>
    <w:rsid w:val="000547FF"/>
    <w:rsid w:val="00055CBB"/>
    <w:rsid w:val="0007300D"/>
    <w:rsid w:val="000837A8"/>
    <w:rsid w:val="0008624F"/>
    <w:rsid w:val="00090D8A"/>
    <w:rsid w:val="000B30CC"/>
    <w:rsid w:val="000B4C53"/>
    <w:rsid w:val="000C3FD0"/>
    <w:rsid w:val="000C73B5"/>
    <w:rsid w:val="000D74C4"/>
    <w:rsid w:val="000E1133"/>
    <w:rsid w:val="000E79F2"/>
    <w:rsid w:val="000F182D"/>
    <w:rsid w:val="001020CD"/>
    <w:rsid w:val="00112A91"/>
    <w:rsid w:val="00122A93"/>
    <w:rsid w:val="001234EB"/>
    <w:rsid w:val="00123527"/>
    <w:rsid w:val="00124357"/>
    <w:rsid w:val="001326E3"/>
    <w:rsid w:val="0014058C"/>
    <w:rsid w:val="0014124B"/>
    <w:rsid w:val="00145FF5"/>
    <w:rsid w:val="0016313E"/>
    <w:rsid w:val="00165387"/>
    <w:rsid w:val="00170527"/>
    <w:rsid w:val="001861DB"/>
    <w:rsid w:val="00192A8C"/>
    <w:rsid w:val="001936F8"/>
    <w:rsid w:val="00193AD8"/>
    <w:rsid w:val="0019646D"/>
    <w:rsid w:val="001B2B52"/>
    <w:rsid w:val="001C4ED2"/>
    <w:rsid w:val="001C6938"/>
    <w:rsid w:val="001C76CF"/>
    <w:rsid w:val="001E3C2A"/>
    <w:rsid w:val="001F6FC9"/>
    <w:rsid w:val="001F7438"/>
    <w:rsid w:val="00201AB8"/>
    <w:rsid w:val="002029DB"/>
    <w:rsid w:val="002053AE"/>
    <w:rsid w:val="002220C0"/>
    <w:rsid w:val="002224E0"/>
    <w:rsid w:val="00236E10"/>
    <w:rsid w:val="00244F19"/>
    <w:rsid w:val="002467B3"/>
    <w:rsid w:val="00257A75"/>
    <w:rsid w:val="00261BAA"/>
    <w:rsid w:val="00272B20"/>
    <w:rsid w:val="00277899"/>
    <w:rsid w:val="00277F83"/>
    <w:rsid w:val="00290AE5"/>
    <w:rsid w:val="002B7D00"/>
    <w:rsid w:val="002C471E"/>
    <w:rsid w:val="002C70C1"/>
    <w:rsid w:val="002F08FB"/>
    <w:rsid w:val="002F1CC8"/>
    <w:rsid w:val="003025A7"/>
    <w:rsid w:val="003052F7"/>
    <w:rsid w:val="00305460"/>
    <w:rsid w:val="0031779C"/>
    <w:rsid w:val="00332BD0"/>
    <w:rsid w:val="00336212"/>
    <w:rsid w:val="0036317C"/>
    <w:rsid w:val="0036600B"/>
    <w:rsid w:val="003811AD"/>
    <w:rsid w:val="003822DC"/>
    <w:rsid w:val="00385A9D"/>
    <w:rsid w:val="003A61B2"/>
    <w:rsid w:val="003A67E5"/>
    <w:rsid w:val="003B46E1"/>
    <w:rsid w:val="003B6BA9"/>
    <w:rsid w:val="003B6DCD"/>
    <w:rsid w:val="003B766A"/>
    <w:rsid w:val="003C08A4"/>
    <w:rsid w:val="003C5949"/>
    <w:rsid w:val="003D0242"/>
    <w:rsid w:val="003D17CC"/>
    <w:rsid w:val="003D41F4"/>
    <w:rsid w:val="003D5EE2"/>
    <w:rsid w:val="003F695A"/>
    <w:rsid w:val="003F7A8A"/>
    <w:rsid w:val="00400D4E"/>
    <w:rsid w:val="004203F5"/>
    <w:rsid w:val="004245A1"/>
    <w:rsid w:val="004254A4"/>
    <w:rsid w:val="0043061B"/>
    <w:rsid w:val="00440D91"/>
    <w:rsid w:val="004446C4"/>
    <w:rsid w:val="00471D1A"/>
    <w:rsid w:val="0047426F"/>
    <w:rsid w:val="0048265E"/>
    <w:rsid w:val="004833F9"/>
    <w:rsid w:val="0048713A"/>
    <w:rsid w:val="00497242"/>
    <w:rsid w:val="004977CD"/>
    <w:rsid w:val="004A5698"/>
    <w:rsid w:val="004B0544"/>
    <w:rsid w:val="004C5A86"/>
    <w:rsid w:val="004D4188"/>
    <w:rsid w:val="004D593A"/>
    <w:rsid w:val="004F5A26"/>
    <w:rsid w:val="0050661C"/>
    <w:rsid w:val="005079CB"/>
    <w:rsid w:val="0051265D"/>
    <w:rsid w:val="00531BF4"/>
    <w:rsid w:val="005427DE"/>
    <w:rsid w:val="00545CDA"/>
    <w:rsid w:val="00546F28"/>
    <w:rsid w:val="005518E7"/>
    <w:rsid w:val="0055336D"/>
    <w:rsid w:val="00553F16"/>
    <w:rsid w:val="00564B4E"/>
    <w:rsid w:val="00567F86"/>
    <w:rsid w:val="00574B39"/>
    <w:rsid w:val="0059291D"/>
    <w:rsid w:val="005A5A48"/>
    <w:rsid w:val="005C0FDC"/>
    <w:rsid w:val="005C69F2"/>
    <w:rsid w:val="005C71FF"/>
    <w:rsid w:val="005D1DA5"/>
    <w:rsid w:val="005D32DA"/>
    <w:rsid w:val="005D4868"/>
    <w:rsid w:val="005F30A1"/>
    <w:rsid w:val="005F48B3"/>
    <w:rsid w:val="005F5BF4"/>
    <w:rsid w:val="005F66EF"/>
    <w:rsid w:val="00610F16"/>
    <w:rsid w:val="00631C95"/>
    <w:rsid w:val="00635C53"/>
    <w:rsid w:val="00644852"/>
    <w:rsid w:val="0065087F"/>
    <w:rsid w:val="00660125"/>
    <w:rsid w:val="00666B40"/>
    <w:rsid w:val="00676A4C"/>
    <w:rsid w:val="006A7278"/>
    <w:rsid w:val="006B2AD4"/>
    <w:rsid w:val="006C0C7A"/>
    <w:rsid w:val="006D41D4"/>
    <w:rsid w:val="006F44EB"/>
    <w:rsid w:val="006F6D24"/>
    <w:rsid w:val="00705286"/>
    <w:rsid w:val="007158A7"/>
    <w:rsid w:val="00717FA9"/>
    <w:rsid w:val="00743060"/>
    <w:rsid w:val="007433AF"/>
    <w:rsid w:val="00764ACA"/>
    <w:rsid w:val="007811D8"/>
    <w:rsid w:val="00782352"/>
    <w:rsid w:val="0078305E"/>
    <w:rsid w:val="00786E12"/>
    <w:rsid w:val="00791A04"/>
    <w:rsid w:val="00794A46"/>
    <w:rsid w:val="00796409"/>
    <w:rsid w:val="0079671E"/>
    <w:rsid w:val="007A1525"/>
    <w:rsid w:val="007C13B9"/>
    <w:rsid w:val="007D2C8F"/>
    <w:rsid w:val="007E766F"/>
    <w:rsid w:val="007F66A2"/>
    <w:rsid w:val="007F6C25"/>
    <w:rsid w:val="00800E94"/>
    <w:rsid w:val="00806347"/>
    <w:rsid w:val="00824FEB"/>
    <w:rsid w:val="0083136A"/>
    <w:rsid w:val="00834616"/>
    <w:rsid w:val="008368B2"/>
    <w:rsid w:val="008433C4"/>
    <w:rsid w:val="00843749"/>
    <w:rsid w:val="00852172"/>
    <w:rsid w:val="00857C00"/>
    <w:rsid w:val="00861BB3"/>
    <w:rsid w:val="0087014E"/>
    <w:rsid w:val="008707F5"/>
    <w:rsid w:val="00876F56"/>
    <w:rsid w:val="00882E3A"/>
    <w:rsid w:val="0088359E"/>
    <w:rsid w:val="008A1DAF"/>
    <w:rsid w:val="008D22A3"/>
    <w:rsid w:val="008D2661"/>
    <w:rsid w:val="008E2F5A"/>
    <w:rsid w:val="009076D5"/>
    <w:rsid w:val="00917B78"/>
    <w:rsid w:val="009205FD"/>
    <w:rsid w:val="009317B4"/>
    <w:rsid w:val="00946EB8"/>
    <w:rsid w:val="00957CF0"/>
    <w:rsid w:val="00961660"/>
    <w:rsid w:val="009636A7"/>
    <w:rsid w:val="00983DC4"/>
    <w:rsid w:val="009875D1"/>
    <w:rsid w:val="00987BB2"/>
    <w:rsid w:val="00991B13"/>
    <w:rsid w:val="009922A8"/>
    <w:rsid w:val="009C4117"/>
    <w:rsid w:val="009C728A"/>
    <w:rsid w:val="009E0978"/>
    <w:rsid w:val="009E7F17"/>
    <w:rsid w:val="009F03FE"/>
    <w:rsid w:val="00A01B8D"/>
    <w:rsid w:val="00A0468D"/>
    <w:rsid w:val="00A070DD"/>
    <w:rsid w:val="00A124FC"/>
    <w:rsid w:val="00A15A3C"/>
    <w:rsid w:val="00A251B3"/>
    <w:rsid w:val="00A312E3"/>
    <w:rsid w:val="00A61A49"/>
    <w:rsid w:val="00A76EF4"/>
    <w:rsid w:val="00A849CA"/>
    <w:rsid w:val="00A85ECB"/>
    <w:rsid w:val="00A868CE"/>
    <w:rsid w:val="00A86B84"/>
    <w:rsid w:val="00AA18E4"/>
    <w:rsid w:val="00AA1C4A"/>
    <w:rsid w:val="00AA5C40"/>
    <w:rsid w:val="00AA5F4D"/>
    <w:rsid w:val="00AB44A4"/>
    <w:rsid w:val="00AC4277"/>
    <w:rsid w:val="00AD5093"/>
    <w:rsid w:val="00AE2A07"/>
    <w:rsid w:val="00AF2A9C"/>
    <w:rsid w:val="00AF37BC"/>
    <w:rsid w:val="00B0218B"/>
    <w:rsid w:val="00B11C1F"/>
    <w:rsid w:val="00B207A1"/>
    <w:rsid w:val="00B26035"/>
    <w:rsid w:val="00B26539"/>
    <w:rsid w:val="00B26EDC"/>
    <w:rsid w:val="00B27387"/>
    <w:rsid w:val="00B301D5"/>
    <w:rsid w:val="00B3254E"/>
    <w:rsid w:val="00B44A19"/>
    <w:rsid w:val="00B44BB0"/>
    <w:rsid w:val="00B46385"/>
    <w:rsid w:val="00B5322A"/>
    <w:rsid w:val="00B56C24"/>
    <w:rsid w:val="00B57CDF"/>
    <w:rsid w:val="00B66445"/>
    <w:rsid w:val="00B80C43"/>
    <w:rsid w:val="00B82DFD"/>
    <w:rsid w:val="00B91DBC"/>
    <w:rsid w:val="00B9230F"/>
    <w:rsid w:val="00B94819"/>
    <w:rsid w:val="00B967A5"/>
    <w:rsid w:val="00BA4175"/>
    <w:rsid w:val="00BB080B"/>
    <w:rsid w:val="00BB3DC6"/>
    <w:rsid w:val="00BD1247"/>
    <w:rsid w:val="00BD3103"/>
    <w:rsid w:val="00BD7B4D"/>
    <w:rsid w:val="00BE77F6"/>
    <w:rsid w:val="00BF011F"/>
    <w:rsid w:val="00C02920"/>
    <w:rsid w:val="00C0387E"/>
    <w:rsid w:val="00C056F4"/>
    <w:rsid w:val="00C1336A"/>
    <w:rsid w:val="00C16E0E"/>
    <w:rsid w:val="00C218D0"/>
    <w:rsid w:val="00C255AE"/>
    <w:rsid w:val="00C31D5F"/>
    <w:rsid w:val="00C41FE8"/>
    <w:rsid w:val="00C469B5"/>
    <w:rsid w:val="00C5045B"/>
    <w:rsid w:val="00C54477"/>
    <w:rsid w:val="00C55DDD"/>
    <w:rsid w:val="00C67069"/>
    <w:rsid w:val="00C71FDB"/>
    <w:rsid w:val="00C73B83"/>
    <w:rsid w:val="00C74B8A"/>
    <w:rsid w:val="00C82B31"/>
    <w:rsid w:val="00C85CDF"/>
    <w:rsid w:val="00C86A69"/>
    <w:rsid w:val="00C93308"/>
    <w:rsid w:val="00CA2986"/>
    <w:rsid w:val="00CD33AD"/>
    <w:rsid w:val="00CE34FD"/>
    <w:rsid w:val="00CE6910"/>
    <w:rsid w:val="00CF0FDF"/>
    <w:rsid w:val="00CF37F8"/>
    <w:rsid w:val="00CF4AAD"/>
    <w:rsid w:val="00D1310A"/>
    <w:rsid w:val="00D20B94"/>
    <w:rsid w:val="00D2311D"/>
    <w:rsid w:val="00D2385A"/>
    <w:rsid w:val="00D258C9"/>
    <w:rsid w:val="00D47066"/>
    <w:rsid w:val="00D57B9F"/>
    <w:rsid w:val="00D820F0"/>
    <w:rsid w:val="00D85939"/>
    <w:rsid w:val="00D85AA0"/>
    <w:rsid w:val="00D863DD"/>
    <w:rsid w:val="00D9107F"/>
    <w:rsid w:val="00D9313C"/>
    <w:rsid w:val="00DA4780"/>
    <w:rsid w:val="00DC6848"/>
    <w:rsid w:val="00DC74AD"/>
    <w:rsid w:val="00DD24A1"/>
    <w:rsid w:val="00DE0340"/>
    <w:rsid w:val="00E015CC"/>
    <w:rsid w:val="00E03FE2"/>
    <w:rsid w:val="00E04A63"/>
    <w:rsid w:val="00E06C42"/>
    <w:rsid w:val="00E074F4"/>
    <w:rsid w:val="00E1180F"/>
    <w:rsid w:val="00E1307C"/>
    <w:rsid w:val="00E241F7"/>
    <w:rsid w:val="00E31D9E"/>
    <w:rsid w:val="00E338CE"/>
    <w:rsid w:val="00E35766"/>
    <w:rsid w:val="00E364F0"/>
    <w:rsid w:val="00E42DE6"/>
    <w:rsid w:val="00E57CD5"/>
    <w:rsid w:val="00E67828"/>
    <w:rsid w:val="00E72A11"/>
    <w:rsid w:val="00E83279"/>
    <w:rsid w:val="00E92241"/>
    <w:rsid w:val="00EC05B2"/>
    <w:rsid w:val="00EC078A"/>
    <w:rsid w:val="00EC263B"/>
    <w:rsid w:val="00EC30E5"/>
    <w:rsid w:val="00EC4293"/>
    <w:rsid w:val="00ED38EE"/>
    <w:rsid w:val="00EE175F"/>
    <w:rsid w:val="00F11B59"/>
    <w:rsid w:val="00F219D4"/>
    <w:rsid w:val="00F54E90"/>
    <w:rsid w:val="00F55BD1"/>
    <w:rsid w:val="00F56077"/>
    <w:rsid w:val="00F6164B"/>
    <w:rsid w:val="00F66C77"/>
    <w:rsid w:val="00F76A11"/>
    <w:rsid w:val="00F776CD"/>
    <w:rsid w:val="00F9030A"/>
    <w:rsid w:val="00F975AD"/>
    <w:rsid w:val="00FA009E"/>
    <w:rsid w:val="00FA22FA"/>
    <w:rsid w:val="00FB634A"/>
    <w:rsid w:val="00FD251D"/>
    <w:rsid w:val="00FD5C8A"/>
    <w:rsid w:val="00FE0FAD"/>
    <w:rsid w:val="00FE762A"/>
    <w:rsid w:val="00FF05A9"/>
    <w:rsid w:val="00FF4433"/>
    <w:rsid w:val="00FF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FD4FB473-3BF2-42A4-93F7-70F013E56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11A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A85EC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rsid w:val="00A85ECB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A85ECB"/>
  </w:style>
  <w:style w:type="paragraph" w:customStyle="1" w:styleId="01-Minuta-CLG">
    <w:name w:val="01 - Minuta - CLG"/>
    <w:link w:val="01-Minuta-CLGChar"/>
    <w:rsid w:val="00A85ECB"/>
    <w:pPr>
      <w:spacing w:after="180"/>
      <w:jc w:val="center"/>
    </w:pPr>
    <w:rPr>
      <w:rFonts w:ascii="Times New Roman" w:eastAsia="Times New Roman" w:hAnsi="Times New Roman"/>
      <w:sz w:val="24"/>
    </w:rPr>
  </w:style>
  <w:style w:type="paragraph" w:customStyle="1" w:styleId="02-TtuloPrincipal-CLG">
    <w:name w:val="02 - Título Principal - CLG"/>
    <w:link w:val="02-TtuloPrincipal-CLGChar"/>
    <w:rsid w:val="00A85ECB"/>
    <w:pPr>
      <w:spacing w:after="960"/>
      <w:jc w:val="center"/>
    </w:pPr>
    <w:rPr>
      <w:rFonts w:ascii="Times New Roman" w:eastAsia="Times New Roman" w:hAnsi="Times New Roman"/>
      <w:b/>
      <w:bCs/>
      <w:sz w:val="32"/>
    </w:rPr>
  </w:style>
  <w:style w:type="paragraph" w:customStyle="1" w:styleId="03-Ementa-CLG">
    <w:name w:val="03 - Ementa - CLG"/>
    <w:link w:val="03-Ementa-CLGCharChar"/>
    <w:rsid w:val="00A85ECB"/>
    <w:pPr>
      <w:spacing w:after="960"/>
      <w:ind w:left="3686"/>
      <w:jc w:val="both"/>
    </w:pPr>
    <w:rPr>
      <w:rFonts w:ascii="Times New Roman" w:eastAsia="Arial Unicode MS" w:hAnsi="Times New Roman"/>
      <w:sz w:val="24"/>
      <w:szCs w:val="24"/>
    </w:rPr>
  </w:style>
  <w:style w:type="character" w:customStyle="1" w:styleId="03-Ementa-CLGCharChar">
    <w:name w:val="03 - Ementa - CLG Char Char"/>
    <w:link w:val="03-Ementa-CLG"/>
    <w:rsid w:val="00A85ECB"/>
    <w:rPr>
      <w:rFonts w:ascii="Times New Roman" w:eastAsia="Arial Unicode MS" w:hAnsi="Times New Roman"/>
      <w:sz w:val="24"/>
      <w:szCs w:val="24"/>
      <w:lang w:val="pt-BR" w:eastAsia="pt-BR" w:bidi="ar-SA"/>
    </w:rPr>
  </w:style>
  <w:style w:type="paragraph" w:customStyle="1" w:styleId="04-Relatoria-CLG">
    <w:name w:val="04 - Relatoria - CLG"/>
    <w:link w:val="04-Relatoria-CLGChar"/>
    <w:rsid w:val="00A85ECB"/>
    <w:pPr>
      <w:spacing w:after="960"/>
      <w:ind w:left="1440"/>
    </w:pPr>
    <w:rPr>
      <w:rFonts w:ascii="Times New Roman" w:eastAsia="Times New Roman" w:hAnsi="Times New Roman"/>
      <w:sz w:val="28"/>
    </w:rPr>
  </w:style>
  <w:style w:type="paragraph" w:customStyle="1" w:styleId="05-Subttulo-CLG">
    <w:name w:val="05 - Subtítulo - CLG"/>
    <w:link w:val="05-Subttulo-CLGChar"/>
    <w:rsid w:val="00A85ECB"/>
    <w:pPr>
      <w:spacing w:after="480"/>
      <w:jc w:val="both"/>
    </w:pPr>
    <w:rPr>
      <w:rFonts w:ascii="Times New Roman" w:eastAsia="Times New Roman" w:hAnsi="Times New Roman"/>
      <w:b/>
      <w:bCs/>
      <w:sz w:val="28"/>
    </w:rPr>
  </w:style>
  <w:style w:type="paragraph" w:customStyle="1" w:styleId="06-Pargrafodetexto-CLG">
    <w:name w:val="06 - Parágrafo de texto - CLG"/>
    <w:link w:val="06-Pargrafodetexto-CLGChar"/>
    <w:rsid w:val="00A85ECB"/>
    <w:pPr>
      <w:spacing w:after="360"/>
      <w:ind w:firstLine="1418"/>
      <w:jc w:val="both"/>
    </w:pPr>
    <w:rPr>
      <w:rFonts w:ascii="Times New Roman" w:eastAsia="Times New Roman" w:hAnsi="Times New Roman"/>
      <w:sz w:val="28"/>
    </w:rPr>
  </w:style>
  <w:style w:type="character" w:customStyle="1" w:styleId="01-Minuta-CLGChar">
    <w:name w:val="01 - Minuta - CLG Char"/>
    <w:link w:val="01-Minuta-CLG"/>
    <w:rsid w:val="00A85ECB"/>
    <w:rPr>
      <w:rFonts w:ascii="Times New Roman" w:eastAsia="Times New Roman" w:hAnsi="Times New Roman"/>
      <w:sz w:val="24"/>
      <w:lang w:val="pt-BR" w:eastAsia="pt-BR" w:bidi="ar-SA"/>
    </w:rPr>
  </w:style>
  <w:style w:type="paragraph" w:customStyle="1" w:styleId="10-Local-CLG">
    <w:name w:val="10 - Local - CLG"/>
    <w:link w:val="10-Local-CLGChar"/>
    <w:rsid w:val="00A85ECB"/>
    <w:pPr>
      <w:spacing w:before="960" w:after="720"/>
      <w:ind w:firstLine="2520"/>
      <w:jc w:val="both"/>
    </w:pPr>
    <w:rPr>
      <w:rFonts w:ascii="Times New Roman" w:eastAsia="Times New Roman" w:hAnsi="Times New Roman"/>
      <w:sz w:val="28"/>
    </w:rPr>
  </w:style>
  <w:style w:type="paragraph" w:customStyle="1" w:styleId="11-Assinaturas-CLG">
    <w:name w:val="11 - Assinaturas - CLG"/>
    <w:link w:val="11-Assinaturas-CLGChar"/>
    <w:rsid w:val="00A85ECB"/>
    <w:pPr>
      <w:spacing w:after="960"/>
      <w:ind w:left="6240"/>
      <w:jc w:val="both"/>
    </w:pPr>
    <w:rPr>
      <w:rFonts w:ascii="Times New Roman" w:eastAsia="Times New Roman" w:hAnsi="Times New Roman"/>
      <w:sz w:val="28"/>
    </w:rPr>
  </w:style>
  <w:style w:type="character" w:customStyle="1" w:styleId="02-TtuloPrincipal-CLGChar">
    <w:name w:val="02 - Título Principal - CLG Char"/>
    <w:link w:val="02-TtuloPrincipal-CLG"/>
    <w:rsid w:val="00A85ECB"/>
    <w:rPr>
      <w:rFonts w:ascii="Times New Roman" w:eastAsia="Times New Roman" w:hAnsi="Times New Roman"/>
      <w:b/>
      <w:bCs/>
      <w:sz w:val="32"/>
      <w:lang w:val="pt-BR" w:eastAsia="pt-BR" w:bidi="ar-SA"/>
    </w:rPr>
  </w:style>
  <w:style w:type="character" w:customStyle="1" w:styleId="04-Relatoria-CLGChar">
    <w:name w:val="04 - Relatoria - CLG Char"/>
    <w:link w:val="04-Relatoria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05-Subttulo-CLGChar">
    <w:name w:val="05 - Subtítulo - CLG Char"/>
    <w:link w:val="05-Subttulo-CLG"/>
    <w:rsid w:val="00A85ECB"/>
    <w:rPr>
      <w:rFonts w:ascii="Times New Roman" w:eastAsia="Times New Roman" w:hAnsi="Times New Roman"/>
      <w:b/>
      <w:bCs/>
      <w:sz w:val="28"/>
      <w:lang w:val="pt-BR" w:eastAsia="pt-BR" w:bidi="ar-SA"/>
    </w:rPr>
  </w:style>
  <w:style w:type="character" w:customStyle="1" w:styleId="06-Pargrafodetexto-CLGChar">
    <w:name w:val="06 - Parágrafo de texto - CLG Char"/>
    <w:link w:val="06-Pargrafodetexto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10-Local-CLGChar">
    <w:name w:val="10 - Local - CLG Char"/>
    <w:link w:val="10-Local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11-Assinaturas-CLGChar">
    <w:name w:val="11 - Assinaturas - CLG Char"/>
    <w:link w:val="11-Assinaturas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paragraph" w:customStyle="1" w:styleId="07-Citaolegal-CLG">
    <w:name w:val="07 - Citação legal - CLG"/>
    <w:rsid w:val="00A85ECB"/>
    <w:pPr>
      <w:spacing w:after="120"/>
      <w:ind w:left="1985" w:firstLine="567"/>
      <w:jc w:val="both"/>
    </w:pPr>
    <w:rPr>
      <w:rFonts w:ascii="Times New Roman" w:eastAsia="Times New Roman" w:hAnsi="Times New Roman"/>
      <w:bCs/>
      <w:sz w:val="24"/>
    </w:rPr>
  </w:style>
  <w:style w:type="paragraph" w:customStyle="1" w:styleId="08-Citaolegal-ltimalinha-CLG">
    <w:name w:val="08 - Citação legal - última linha - CLG"/>
    <w:rsid w:val="00A85ECB"/>
    <w:pPr>
      <w:spacing w:after="480"/>
      <w:ind w:left="1985" w:firstLine="567"/>
      <w:jc w:val="both"/>
    </w:pPr>
    <w:rPr>
      <w:rFonts w:ascii="Times New Roman" w:eastAsia="Times New Roman" w:hAnsi="Times New Roman"/>
      <w:sz w:val="24"/>
    </w:rPr>
  </w:style>
  <w:style w:type="paragraph" w:customStyle="1" w:styleId="09-Ttuloemenda-CLG">
    <w:name w:val="09 - Título emenda - CLG"/>
    <w:rsid w:val="00A85ECB"/>
    <w:pPr>
      <w:spacing w:before="480" w:after="360"/>
      <w:jc w:val="center"/>
    </w:pPr>
    <w:rPr>
      <w:rFonts w:ascii="Times New Roman" w:eastAsia="Times New Roman" w:hAnsi="Times New Roman"/>
      <w:b/>
      <w:bCs/>
      <w:spacing w:val="-4"/>
      <w:sz w:val="28"/>
    </w:rPr>
  </w:style>
  <w:style w:type="paragraph" w:customStyle="1" w:styleId="05-Pargrafodetexto-CLG">
    <w:name w:val="05 - Parágrafo de texto - CLG"/>
    <w:link w:val="05-Pargrafodetexto-CLGChar"/>
    <w:rsid w:val="00A0468D"/>
    <w:pPr>
      <w:spacing w:after="360"/>
      <w:ind w:firstLine="1418"/>
      <w:jc w:val="both"/>
    </w:pPr>
    <w:rPr>
      <w:rFonts w:ascii="Times New Roman" w:eastAsia="Times New Roman" w:hAnsi="Times New Roman"/>
      <w:sz w:val="28"/>
    </w:rPr>
  </w:style>
  <w:style w:type="character" w:customStyle="1" w:styleId="05-Pargrafodetexto-CLGChar">
    <w:name w:val="05 - Parágrafo de texto - CLG Char"/>
    <w:link w:val="05-Pargrafodetexto-CLG"/>
    <w:rsid w:val="00A0468D"/>
    <w:rPr>
      <w:rFonts w:ascii="Times New Roman" w:eastAsia="Times New Roman" w:hAnsi="Times New Roman"/>
      <w:sz w:val="28"/>
      <w:lang w:val="pt-BR" w:eastAsia="pt-BR" w:bidi="ar-SA"/>
    </w:rPr>
  </w:style>
  <w:style w:type="character" w:styleId="Hyperlink">
    <w:name w:val="Hyperlink"/>
    <w:rsid w:val="003811AD"/>
    <w:rPr>
      <w:color w:val="0505A0"/>
      <w:spacing w:val="0"/>
      <w:u w:val="single"/>
    </w:rPr>
  </w:style>
  <w:style w:type="paragraph" w:styleId="NormalWeb">
    <w:name w:val="Normal (Web)"/>
    <w:basedOn w:val="Normal"/>
    <w:rsid w:val="003811AD"/>
    <w:pPr>
      <w:spacing w:before="100" w:beforeAutospacing="1" w:after="100" w:afterAutospacing="1"/>
    </w:pPr>
  </w:style>
  <w:style w:type="paragraph" w:customStyle="1" w:styleId="textbody">
    <w:name w:val="textbody"/>
    <w:basedOn w:val="Normal"/>
    <w:rsid w:val="003025A7"/>
    <w:pPr>
      <w:spacing w:before="100" w:beforeAutospacing="1" w:after="100" w:afterAutospacing="1"/>
    </w:pPr>
  </w:style>
  <w:style w:type="paragraph" w:customStyle="1" w:styleId="Textbody0">
    <w:name w:val="Text body"/>
    <w:basedOn w:val="Normal"/>
    <w:rsid w:val="000F182D"/>
    <w:pPr>
      <w:widowControl w:val="0"/>
      <w:suppressAutoHyphens/>
      <w:autoSpaceDN w:val="0"/>
      <w:spacing w:after="120"/>
      <w:textAlignment w:val="baseline"/>
    </w:pPr>
    <w:rPr>
      <w:rFonts w:eastAsia="Lucida Sans Unicode" w:cs="Mangal"/>
      <w:kern w:val="3"/>
      <w:lang w:eastAsia="zh-CN" w:bidi="hi-IN"/>
    </w:rPr>
  </w:style>
  <w:style w:type="character" w:styleId="Refdecomentrio">
    <w:name w:val="annotation reference"/>
    <w:uiPriority w:val="99"/>
    <w:semiHidden/>
    <w:unhideWhenUsed/>
    <w:rsid w:val="009E097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E0978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9E09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E0978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E097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097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E097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F9030A"/>
  </w:style>
  <w:style w:type="character" w:styleId="nfase">
    <w:name w:val="Emphasis"/>
    <w:uiPriority w:val="20"/>
    <w:qFormat/>
    <w:rsid w:val="00F9030A"/>
    <w:rPr>
      <w:i/>
      <w:iCs/>
    </w:rPr>
  </w:style>
  <w:style w:type="paragraph" w:customStyle="1" w:styleId="04-PargrafodetextoEstudoNotas-CLG">
    <w:name w:val="04 - Parágrafo de texto Estudo Notas - CLG"/>
    <w:link w:val="04-PargrafodetextoEstudoNotas-CLGChar"/>
    <w:rsid w:val="00CA2986"/>
    <w:pPr>
      <w:spacing w:after="360" w:line="360" w:lineRule="auto"/>
      <w:ind w:firstLine="1418"/>
      <w:jc w:val="both"/>
    </w:pPr>
    <w:rPr>
      <w:rFonts w:ascii="Times New Roman" w:eastAsia="Times New Roman" w:hAnsi="Times New Roman"/>
      <w:sz w:val="28"/>
      <w:szCs w:val="22"/>
      <w:lang w:val="en-US"/>
    </w:rPr>
  </w:style>
  <w:style w:type="character" w:customStyle="1" w:styleId="04-PargrafodetextoEstudoNotas-CLGChar">
    <w:name w:val="04 - Parágrafo de texto Estudo Notas - CLG Char"/>
    <w:link w:val="04-PargrafodetextoEstudoNotas-CLG"/>
    <w:rsid w:val="00CA2986"/>
    <w:rPr>
      <w:rFonts w:ascii="Times New Roman" w:eastAsia="Times New Roman" w:hAnsi="Times New Roman"/>
      <w:sz w:val="28"/>
      <w:szCs w:val="22"/>
      <w:lang w:val="en-US" w:eastAsia="pt-BR" w:bidi="ar-SA"/>
    </w:rPr>
  </w:style>
  <w:style w:type="paragraph" w:styleId="Textodenotaderodap">
    <w:name w:val="footnote text"/>
    <w:basedOn w:val="Normal"/>
    <w:link w:val="TextodenotaderodapChar"/>
    <w:rsid w:val="00CA2986"/>
    <w:rPr>
      <w:sz w:val="20"/>
      <w:szCs w:val="20"/>
    </w:rPr>
  </w:style>
  <w:style w:type="character" w:customStyle="1" w:styleId="TextodenotaderodapChar">
    <w:name w:val="Texto de nota de rodapé Char"/>
    <w:link w:val="Textodenotaderodap"/>
    <w:rsid w:val="00CA298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rsid w:val="00CA2986"/>
    <w:rPr>
      <w:vertAlign w:val="superscript"/>
    </w:rPr>
  </w:style>
  <w:style w:type="paragraph" w:styleId="Reviso">
    <w:name w:val="Revision"/>
    <w:hidden/>
    <w:uiPriority w:val="99"/>
    <w:semiHidden/>
    <w:rsid w:val="00B56C24"/>
    <w:rPr>
      <w:rFonts w:ascii="Times New Roman" w:eastAsia="Times New Roman" w:hAnsi="Times New Roman"/>
      <w:sz w:val="24"/>
      <w:szCs w:val="24"/>
    </w:rPr>
  </w:style>
  <w:style w:type="paragraph" w:customStyle="1" w:styleId="FormaLivre">
    <w:name w:val="Forma Livre"/>
    <w:rsid w:val="00F66C77"/>
    <w:rPr>
      <w:rFonts w:ascii="Helvetica" w:eastAsia="ヒラギノ角ゴ Pro W3" w:hAnsi="Helvetica"/>
      <w:color w:val="000000"/>
      <w:sz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9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3250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9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A70E969-4EDE-4FBA-90E9-5B025F7D2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765</Words>
  <Characters>4135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Senado Federal</Company>
  <LinksUpToDate>false</LinksUpToDate>
  <CharactersWithSpaces>4891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Raimundo Nonato Silva Damasceno Junior</dc:creator>
  <cp:keywords/>
  <cp:lastModifiedBy>Rodrigo Ribeiro Bedritichuk</cp:lastModifiedBy>
  <cp:revision>10</cp:revision>
  <cp:lastPrinted>2015-12-02T10:31:00Z</cp:lastPrinted>
  <dcterms:created xsi:type="dcterms:W3CDTF">2015-12-02T10:28:00Z</dcterms:created>
  <dcterms:modified xsi:type="dcterms:W3CDTF">2015-12-09T17:49:00Z</dcterms:modified>
</cp:coreProperties>
</file>