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F81" w:rsidRPr="00A0102D" w:rsidRDefault="00CC1F81" w:rsidP="00CC1F81">
      <w:pPr>
        <w:pStyle w:val="Default"/>
        <w:spacing w:before="120" w:after="120" w:line="276" w:lineRule="auto"/>
        <w:jc w:val="center"/>
        <w:rPr>
          <w:rFonts w:eastAsia="Batang"/>
          <w:b/>
          <w:color w:val="auto"/>
          <w:sz w:val="32"/>
        </w:rPr>
      </w:pPr>
      <w:r w:rsidRPr="00A0102D">
        <w:rPr>
          <w:rFonts w:eastAsia="Batang"/>
          <w:b/>
          <w:color w:val="auto"/>
          <w:sz w:val="32"/>
        </w:rPr>
        <w:t>PARECER Nº     , DE 2015</w:t>
      </w: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Pr="00A0102D" w:rsidRDefault="00CC1F81" w:rsidP="00CC1F81">
      <w:pPr>
        <w:pStyle w:val="Default"/>
        <w:spacing w:before="120" w:after="120" w:line="276" w:lineRule="auto"/>
        <w:ind w:left="4248"/>
        <w:jc w:val="both"/>
        <w:rPr>
          <w:rFonts w:eastAsia="Batang"/>
          <w:color w:val="auto"/>
        </w:rPr>
      </w:pPr>
      <w:r w:rsidRPr="00A0102D">
        <w:rPr>
          <w:rFonts w:eastAsia="Batang"/>
          <w:color w:val="auto"/>
        </w:rPr>
        <w:t xml:space="preserve">Da </w:t>
      </w:r>
      <w:r w:rsidRPr="00A0102D">
        <w:rPr>
          <w:rFonts w:eastAsia="Batang"/>
          <w:b/>
          <w:color w:val="auto"/>
        </w:rPr>
        <w:t xml:space="preserve">COMISSÃO </w:t>
      </w:r>
      <w:r>
        <w:rPr>
          <w:rFonts w:eastAsia="Batang"/>
          <w:b/>
          <w:color w:val="auto"/>
        </w:rPr>
        <w:t>MISTA</w:t>
      </w:r>
      <w:r w:rsidRPr="00A0102D">
        <w:rPr>
          <w:rFonts w:eastAsia="Batang"/>
          <w:color w:val="auto"/>
        </w:rPr>
        <w:t xml:space="preserve">, sobre </w:t>
      </w:r>
      <w:r>
        <w:rPr>
          <w:rFonts w:eastAsia="Batang"/>
          <w:color w:val="auto"/>
        </w:rPr>
        <w:t>a Medida Provisória nº 694</w:t>
      </w:r>
      <w:r w:rsidRPr="00A0102D">
        <w:rPr>
          <w:rFonts w:eastAsia="Batang"/>
          <w:color w:val="auto"/>
        </w:rPr>
        <w:t>, de 2015, que “</w:t>
      </w:r>
      <w:r w:rsidRPr="001D2194">
        <w:rPr>
          <w:rFonts w:eastAsia="Batang"/>
          <w:color w:val="auto"/>
        </w:rPr>
        <w:t xml:space="preserve">Altera a Lei nº 9.249, de 26 de dezembro de 1995, para dispor sobre o imposto sobre a renda incidente sobre juros de capital próprio, a </w:t>
      </w:r>
      <w:r>
        <w:rPr>
          <w:rFonts w:eastAsia="Batang"/>
          <w:color w:val="auto"/>
        </w:rPr>
        <w:t>L</w:t>
      </w:r>
      <w:r w:rsidRPr="001D2194">
        <w:rPr>
          <w:rFonts w:eastAsia="Batang"/>
          <w:color w:val="auto"/>
        </w:rPr>
        <w:t>ei nº 10.865, de 30 de abril de 2004, e a Lei nº 11.196, de 21 de novembro de 2005, para dispor sobre os benefícios fiscais do Regime Especial da Indústria Química e para suspender, no ano-calendário de 2016, os benefícios fiscais de que tratam os arts. 19, 19-A e 26 desta Lei</w:t>
      </w:r>
      <w:r w:rsidRPr="00A0102D">
        <w:rPr>
          <w:rFonts w:eastAsia="Batang"/>
          <w:color w:val="auto"/>
        </w:rPr>
        <w:t>”.</w:t>
      </w:r>
    </w:p>
    <w:p w:rsidR="00CC1F81" w:rsidRPr="00A0102D" w:rsidRDefault="00CC1F81" w:rsidP="00CC1F81">
      <w:pPr>
        <w:pStyle w:val="Default"/>
        <w:spacing w:before="120" w:after="120" w:line="276" w:lineRule="auto"/>
        <w:ind w:left="4248"/>
        <w:jc w:val="both"/>
        <w:rPr>
          <w:rFonts w:eastAsia="Batang"/>
          <w:color w:val="auto"/>
        </w:rPr>
      </w:pPr>
      <w:r w:rsidRPr="00A0102D">
        <w:rPr>
          <w:rFonts w:eastAsia="Batang"/>
          <w:color w:val="auto"/>
        </w:rPr>
        <w:t xml:space="preserve">Relator:  senador </w:t>
      </w:r>
      <w:r w:rsidRPr="00A0102D">
        <w:rPr>
          <w:rFonts w:eastAsia="Batang"/>
          <w:b/>
          <w:color w:val="auto"/>
        </w:rPr>
        <w:t>Romero Jucá</w:t>
      </w: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b/>
          <w:color w:val="auto"/>
          <w:sz w:val="28"/>
        </w:rPr>
      </w:pPr>
      <w:r w:rsidRPr="00A0102D">
        <w:rPr>
          <w:rFonts w:eastAsia="Batang"/>
          <w:b/>
          <w:color w:val="auto"/>
          <w:sz w:val="28"/>
        </w:rPr>
        <w:t>I - Relatório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Encontra-se sob a apreciação desta Comissão Mista a Medida Provisória nº 694, de 30 de setembro de 2015 (MPV 694/15), que </w:t>
      </w:r>
      <w:r w:rsidRPr="00A0102D">
        <w:rPr>
          <w:rFonts w:eastAsia="Batang"/>
          <w:color w:val="auto"/>
        </w:rPr>
        <w:t>“</w:t>
      </w:r>
      <w:r w:rsidRPr="001D2194">
        <w:rPr>
          <w:rFonts w:eastAsia="Batang"/>
          <w:color w:val="auto"/>
        </w:rPr>
        <w:t xml:space="preserve">Altera a Lei nº 9.249, de 26 de dezembro de 1995, para dispor sobre o imposto sobre a renda incidente sobre juros de capital próprio, a </w:t>
      </w:r>
      <w:r>
        <w:rPr>
          <w:rFonts w:eastAsia="Batang"/>
          <w:color w:val="auto"/>
        </w:rPr>
        <w:t>L</w:t>
      </w:r>
      <w:r w:rsidRPr="001D2194">
        <w:rPr>
          <w:rFonts w:eastAsia="Batang"/>
          <w:color w:val="auto"/>
        </w:rPr>
        <w:t>ei nº 10.865, de 30 de abril de 2004, e a Lei nº 11.196, de 21 de novembro de 2005, para dispor sobre os benefícios fiscais do Regime Especial da Indústria Química e para suspender, no ano-calendário de 2016, os benefícios fiscais de que tratam os arts. 19, 19-A e 26 desta Lei</w:t>
      </w:r>
      <w:r w:rsidRPr="00A0102D">
        <w:rPr>
          <w:rFonts w:eastAsia="Batang"/>
          <w:color w:val="auto"/>
        </w:rPr>
        <w:t>”.</w:t>
      </w:r>
      <w:r>
        <w:rPr>
          <w:rFonts w:eastAsia="Batang"/>
          <w:color w:val="auto"/>
        </w:rPr>
        <w:t xml:space="preserve">  A MPV 694/15 é submetida ao Congresso Nacional com fundamento no art. 62 da Constituição Federal, devendo-lhe a tramitação reger-se pelas disposições contidas na Resolução nº 1, de 2002-CN.  Nos termos do § 7º do art. 62 da Constituição Federal, o período de vigência da MPV 694/15 foi prorrogado até 8 de março de 2016. No prazo regimental, foram a ela apresentadas 109 (cento e nove) emendas.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lastRenderedPageBreak/>
        <w:t xml:space="preserve">A Medida Provisória dá providências por meio da alteração de três diplomas legais distintos:  a Lei nº 9.249, de 1995, a Lei nº 10.865, de 2004, e a Lei nº 11.196, de 2005.  Ao alterar a Lei nº 9.249, de 1995, o propósito é o de limitar a dedução, para efeito de apuração do lucro real das pessoas jurídicas, dos juros incidentes sobre o capital próprio.  Até o advento da MPV 694/15, os juros sobre o capital próprio eram calculados, </w:t>
      </w:r>
      <w:r w:rsidRPr="00AA13B2">
        <w:rPr>
          <w:rFonts w:eastAsia="Batang"/>
          <w:i/>
          <w:color w:val="auto"/>
        </w:rPr>
        <w:t>pro rata die</w:t>
      </w:r>
      <w:r>
        <w:rPr>
          <w:rFonts w:eastAsia="Batang"/>
          <w:color w:val="auto"/>
        </w:rPr>
        <w:t>, com base na variação da Taxa de Juros de Longo Prazo (TJLP).  A partir de agora, caso se confirmem as providências dadas pela MPV, os juros continuarão a ser apurados com base na TJLP, desde que sua variação não exceda a taxa o limite de 5% ao ano.  Além disso, os juros, uma vez pagos aos seus beneficiários ou em seu nome creditados, passam a sujeitar-se, para efeito da incidência de imposto de renda retido na fonte, à alíquota de 18%, contra os atuais 15%.  No que tange à Lei nº 10.865, de 2004, o propósito é o de elevar as alíquotas da Contribuição para o PIS/Pasep-Importação, de 0,54% para 1,11%, e da Contribuição para o Financiamento da Seguridade Social-Importação (Cofins-Importação), de 2,46% para 5,02%.  Essas contribuições incidem sobre as operações de importação de etano, butano e propano, destinados à produção de eteno e propeno, de nafta petroquímica e condensado para as centrais petroquímicas e de eteno, propeno, buteno, butadieno, orto-xileno, benzeno, tolueno, isopreno e paraxileno, sempre que efetuadas as importações por indústria química e ocorridos os fatos geradores no exercício de 2016.  Por fim, a alteração da Lei nº 11.196, de 2005, tem o objetivo de suspender os benefícios fiscais representados:  a) pela exclusão, do lucro líquido, para efeito da determinação do lucro real e da base de cálculo do Contribuição sobre o Lucro Líquido (CSLL), de até 60% dos dispêndios com pesquisa tecnológica e com o desenvolvimento de inovação tecnológica; pela exclusão, do lucro líquido, para efeito da apuração da base de cálculo da CSLL, dos dispêndios efetuados em projeto de pesquisa científica e tecnológica, assim como de inovação tecnológica, executado por Instituição Científica e Tecnológica (ICT).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Cabe esclarecer que as providências dadas no tocante ao PIS/Pasep-Importação e à Cofins-Importação abrangem o denominado Regime Especial da Indústria Química (Reiq).  Beneficiam-se desse regime as centrais petroquímicas que importem ou adquiram, no mercado interno, a nafta petroquímica, o etano, o propano, o butano, o condensado e as correntes gasosas de refinaria (HLR), assim como também se beneficiam as indústrias petroquímicas que, importando-os ou adquirindo-os no mercado interno, utilizem como insumo o eteno, o propeno, o buteno, o butadieno, o ortoxileno, o benzeno, o tolueno, o isopropeno e o paraxileno.  O adquirente ou importador beneficia-se de diferencial de alíquotas entre débitos e créditos do PIS/Pasep e do Cofins, pois se credita por alíquotas maiores que aquelas pelas quais é debitado ao adquirir ou importar o insumo </w:t>
      </w:r>
      <w:r>
        <w:rPr>
          <w:rFonts w:eastAsia="Batang"/>
          <w:color w:val="auto"/>
        </w:rPr>
        <w:lastRenderedPageBreak/>
        <w:t>petroquímico.  A tabela, a seguir, discrimina</w:t>
      </w:r>
      <w:r w:rsidRPr="009820D4">
        <w:rPr>
          <w:rFonts w:eastAsia="Batang"/>
          <w:color w:val="auto"/>
        </w:rPr>
        <w:t xml:space="preserve"> </w:t>
      </w:r>
      <w:r>
        <w:rPr>
          <w:rFonts w:eastAsia="Batang"/>
          <w:color w:val="auto"/>
        </w:rPr>
        <w:t>os efeitos da MPV 694/2015, por ano civil, em face do que seria a incidência tributária caso a legislação permanecesse inalterada.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414"/>
        <w:gridCol w:w="1413"/>
        <w:gridCol w:w="1415"/>
        <w:gridCol w:w="1434"/>
        <w:gridCol w:w="1415"/>
        <w:gridCol w:w="1413"/>
      </w:tblGrid>
      <w:tr w:rsidR="00CC1F81" w:rsidRPr="001615B8" w:rsidTr="003B5628">
        <w:trPr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Alíquotas Vigentes, Propostas (MPV 694/15) e seus Diferenciais</w:t>
            </w:r>
          </w:p>
        </w:tc>
      </w:tr>
      <w:tr w:rsidR="00CC1F81" w:rsidRPr="001615B8" w:rsidTr="003B5628">
        <w:trPr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Ano Civil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PIS-Pasep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Cofins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Total</w:t>
            </w:r>
          </w:p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(A)+(B)=(C)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Diferencial</w:t>
            </w:r>
          </w:p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Sem MPV</w:t>
            </w:r>
          </w:p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9,25% - (C)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Diferencial</w:t>
            </w:r>
          </w:p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MPV 694/15</w:t>
            </w:r>
          </w:p>
        </w:tc>
      </w:tr>
      <w:tr w:rsidR="00CC1F81" w:rsidRPr="001615B8" w:rsidTr="003B5628">
        <w:trPr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2013-2015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0,18%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0,82%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1,00%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8,25%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8,25%</w:t>
            </w:r>
          </w:p>
        </w:tc>
      </w:tr>
      <w:tr w:rsidR="00CC1F81" w:rsidRPr="001615B8" w:rsidTr="003B5628">
        <w:trPr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2016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0,54%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2,46%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3,00%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6,25%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3,12%</w:t>
            </w:r>
          </w:p>
        </w:tc>
      </w:tr>
      <w:tr w:rsidR="00CC1F81" w:rsidRPr="001615B8" w:rsidTr="003B5628">
        <w:trPr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2017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0,90%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4,10%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5,00%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4,25%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0%</w:t>
            </w:r>
          </w:p>
        </w:tc>
      </w:tr>
      <w:tr w:rsidR="00CC1F81" w:rsidRPr="001615B8" w:rsidTr="003B5628">
        <w:trPr>
          <w:jc w:val="center"/>
        </w:trPr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b/>
                <w:color w:val="auto"/>
                <w:sz w:val="22"/>
              </w:rPr>
            </w:pPr>
            <w:r w:rsidRPr="001615B8">
              <w:rPr>
                <w:rFonts w:eastAsia="Batang"/>
                <w:b/>
                <w:color w:val="auto"/>
                <w:sz w:val="22"/>
              </w:rPr>
              <w:t>2018 em diante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1,00%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4,60%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5,60%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3,65%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CC1F81" w:rsidRPr="001615B8" w:rsidRDefault="00CC1F81" w:rsidP="003B5628">
            <w:pPr>
              <w:pStyle w:val="Default"/>
              <w:jc w:val="center"/>
              <w:rPr>
                <w:rFonts w:eastAsia="Batang"/>
                <w:color w:val="auto"/>
                <w:sz w:val="22"/>
              </w:rPr>
            </w:pPr>
            <w:r w:rsidRPr="001615B8">
              <w:rPr>
                <w:rFonts w:eastAsia="Batang"/>
                <w:color w:val="auto"/>
                <w:sz w:val="22"/>
              </w:rPr>
              <w:t>0%</w:t>
            </w:r>
          </w:p>
        </w:tc>
      </w:tr>
    </w:tbl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b/>
          <w:color w:val="auto"/>
          <w:sz w:val="28"/>
        </w:rPr>
      </w:pPr>
      <w:r w:rsidRPr="00A0102D">
        <w:rPr>
          <w:rFonts w:eastAsia="Batang"/>
          <w:b/>
          <w:color w:val="auto"/>
          <w:sz w:val="28"/>
        </w:rPr>
        <w:t>II – Análise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A análise da MPV 694/15 deve seguir o roteiro estabelecido no art. 5º da Resolução nº 1, de 2002-CN. De acordo com o </w:t>
      </w:r>
      <w:r w:rsidRPr="00050075">
        <w:rPr>
          <w:rFonts w:eastAsia="Batang"/>
          <w:b/>
          <w:i/>
          <w:color w:val="auto"/>
        </w:rPr>
        <w:t>caput</w:t>
      </w:r>
      <w:r>
        <w:rPr>
          <w:rFonts w:eastAsia="Batang"/>
          <w:color w:val="auto"/>
        </w:rPr>
        <w:t xml:space="preserve"> desse artigo, cabe a esta comissão manifestar-se “</w:t>
      </w:r>
      <w:r w:rsidRPr="00FF6CDE">
        <w:rPr>
          <w:rFonts w:eastAsia="Batang"/>
          <w:color w:val="auto"/>
        </w:rPr>
        <w:t xml:space="preserve">sobre a matéria, em itens separados, quanto aos aspectos constitucional, inclusive sobre os pressupostos de relevância e urgência, de mérito, de adequação financeira e orçamentária e sobre o cumprimento da exigência prevista no § 1º do art. 2º.”. </w:t>
      </w:r>
      <w:r>
        <w:rPr>
          <w:rFonts w:eastAsia="Batang"/>
          <w:color w:val="auto"/>
        </w:rPr>
        <w:t xml:space="preserve">Por esse último </w:t>
      </w:r>
      <w:r w:rsidRPr="007A05D6">
        <w:rPr>
          <w:rFonts w:eastAsia="Batang"/>
          <w:color w:val="auto"/>
        </w:rPr>
        <w:t>dispositivo, “No dia da publicação da Medida Provisória no Diário Oficial da União, o seu texto será enviado ao Congresso Nacional, acompanhado da respectiva Mensagem e de documento expondo a motivação do ato.”.</w:t>
      </w:r>
    </w:p>
    <w:p w:rsidR="00CC1F81" w:rsidRPr="007A05D6" w:rsidRDefault="00CC1F81" w:rsidP="00CC1F81">
      <w:pPr>
        <w:pStyle w:val="Default"/>
        <w:spacing w:before="120" w:after="120" w:line="276" w:lineRule="auto"/>
        <w:jc w:val="both"/>
        <w:rPr>
          <w:rFonts w:eastAsia="Batang"/>
          <w:i/>
          <w:color w:val="auto"/>
        </w:rPr>
      </w:pPr>
      <w:r w:rsidRPr="007A05D6">
        <w:rPr>
          <w:rFonts w:eastAsia="Batang"/>
          <w:i/>
          <w:color w:val="auto"/>
        </w:rPr>
        <w:t xml:space="preserve">2.1. </w:t>
      </w:r>
      <w:r>
        <w:rPr>
          <w:rFonts w:eastAsia="Batang"/>
          <w:i/>
          <w:color w:val="auto"/>
        </w:rPr>
        <w:t>Constitucionalidade, incluindo os</w:t>
      </w:r>
      <w:r w:rsidRPr="007A05D6">
        <w:rPr>
          <w:rFonts w:eastAsia="Batang"/>
          <w:i/>
          <w:color w:val="auto"/>
        </w:rPr>
        <w:t xml:space="preserve"> pressupostos de relevância e urgência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As medidas provisórias podem tratar de qualquer matéria sujeita a reserva legal, observadas as exceções listadas no § 1º do art. 62 da Constituição. Nessa perspectiva, duas são as considerações em referência à MPV 694/15. Em primeiro lugar, ao apenas alterar leis ordinárias, não trata a medida de assunto regulado em leis complementares. Em segundo lugar, a matéria dela constante refere-se apenas a direito tributário, tema não constante das exceções relacionadas no dispositivo antes mencionado.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Feitas as considerações sobre o objeto da MPV 694/15, passa-se ao exame da presença dos pressupostos exigidos para a edição de medidas provisórias. De acordo com o </w:t>
      </w:r>
      <w:r w:rsidRPr="00050075">
        <w:rPr>
          <w:rFonts w:eastAsia="Batang"/>
          <w:b/>
          <w:i/>
          <w:color w:val="auto"/>
        </w:rPr>
        <w:t>caput</w:t>
      </w:r>
      <w:r>
        <w:rPr>
          <w:rFonts w:eastAsia="Batang"/>
          <w:color w:val="auto"/>
        </w:rPr>
        <w:t xml:space="preserve"> do art. 62 da Constituição, essa espécie normativa só pode ser adotada em situação de relevância e de urgência. É o caso da medida em análise, a qual visa ao incremento da arrecadação federal em momento tão crítico para as finanças públicas. No mesmo sentido é a manifestação do Ministro da Fazenda na exposição de motivos que acompanha a MPV </w:t>
      </w:r>
      <w:r>
        <w:rPr>
          <w:rFonts w:eastAsia="Batang"/>
          <w:color w:val="auto"/>
        </w:rPr>
        <w:lastRenderedPageBreak/>
        <w:t>694/15: “</w:t>
      </w:r>
      <w:r>
        <w:t xml:space="preserve">As razões que justificam a urgência e relevância desta medida decorrem da situação crítica fiscal já relatada, que demanda incremento da base tributária e redução de benefícios fiscais, extremamente necessário a partir de janeiro de 2016.”. </w:t>
      </w:r>
    </w:p>
    <w:p w:rsidR="00CC1F81" w:rsidRPr="007A05D6" w:rsidRDefault="00CC1F81" w:rsidP="00CC1F81">
      <w:pPr>
        <w:pStyle w:val="Default"/>
        <w:spacing w:before="120" w:after="120" w:line="276" w:lineRule="auto"/>
        <w:jc w:val="both"/>
        <w:rPr>
          <w:rFonts w:eastAsia="Batang"/>
          <w:i/>
          <w:color w:val="auto"/>
        </w:rPr>
      </w:pPr>
      <w:r w:rsidRPr="007A05D6">
        <w:rPr>
          <w:rFonts w:eastAsia="Batang"/>
          <w:i/>
          <w:color w:val="auto"/>
        </w:rPr>
        <w:t>2.</w:t>
      </w:r>
      <w:r>
        <w:rPr>
          <w:rFonts w:eastAsia="Batang"/>
          <w:i/>
          <w:color w:val="auto"/>
        </w:rPr>
        <w:t>2</w:t>
      </w:r>
      <w:r w:rsidRPr="007A05D6">
        <w:rPr>
          <w:rFonts w:eastAsia="Batang"/>
          <w:i/>
          <w:color w:val="auto"/>
        </w:rPr>
        <w:t xml:space="preserve">. </w:t>
      </w:r>
      <w:r>
        <w:rPr>
          <w:rFonts w:eastAsia="Batang"/>
          <w:i/>
          <w:color w:val="auto"/>
        </w:rPr>
        <w:t>Mérito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O mérito da MPV 694/15 encontra-se nas razões que configuram a sua relevância e a sua adoção com sentido de urgência. Encontra-se, em suma, no enfretamento da grave crise fiscal em que se encontra a União. Não é segredo que a crise vem exigindo ações em diversas frentes, seja no sentido de diminuir ou se racionalizar despesas, seja no sentido de aumentar a receita. A MPV 694/15 configura-se, justamente, num dos instrumentos dessas ações, visando, em particular, ao fortalecimento dos cofres públicos federais.</w:t>
      </w:r>
    </w:p>
    <w:p w:rsidR="00CC1F81" w:rsidRPr="007A05D6" w:rsidRDefault="00CC1F81" w:rsidP="00CC1F81">
      <w:pPr>
        <w:pStyle w:val="Default"/>
        <w:spacing w:before="120" w:after="120" w:line="276" w:lineRule="auto"/>
        <w:jc w:val="both"/>
        <w:rPr>
          <w:rFonts w:eastAsia="Batang"/>
          <w:i/>
          <w:color w:val="auto"/>
        </w:rPr>
      </w:pPr>
      <w:r w:rsidRPr="007A05D6">
        <w:rPr>
          <w:rFonts w:eastAsia="Batang"/>
          <w:i/>
          <w:color w:val="auto"/>
        </w:rPr>
        <w:t>2.</w:t>
      </w:r>
      <w:r>
        <w:rPr>
          <w:rFonts w:eastAsia="Batang"/>
          <w:i/>
          <w:color w:val="auto"/>
        </w:rPr>
        <w:t>3</w:t>
      </w:r>
      <w:r w:rsidRPr="007A05D6">
        <w:rPr>
          <w:rFonts w:eastAsia="Batang"/>
          <w:i/>
          <w:color w:val="auto"/>
        </w:rPr>
        <w:t xml:space="preserve">. </w:t>
      </w:r>
      <w:r>
        <w:rPr>
          <w:rFonts w:eastAsia="Batang"/>
          <w:i/>
          <w:color w:val="auto"/>
        </w:rPr>
        <w:t>Adequação financeira e orçamentária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De acordo com o § 1º do art. 5º da Resolução nº 1, de 2002-CN,</w:t>
      </w:r>
    </w:p>
    <w:p w:rsidR="00CC1F81" w:rsidRPr="00B11730" w:rsidRDefault="00CC1F81" w:rsidP="00CC1F81">
      <w:pPr>
        <w:pStyle w:val="Default"/>
        <w:spacing w:before="120" w:after="120" w:line="276" w:lineRule="auto"/>
        <w:ind w:left="1418"/>
        <w:jc w:val="both"/>
        <w:rPr>
          <w:rFonts w:eastAsia="Batang"/>
          <w:color w:val="auto"/>
          <w:sz w:val="22"/>
          <w:szCs w:val="22"/>
        </w:rPr>
      </w:pPr>
      <w:r w:rsidRPr="00B11730">
        <w:rPr>
          <w:rFonts w:eastAsia="Batang"/>
          <w:color w:val="auto"/>
          <w:sz w:val="22"/>
          <w:szCs w:val="22"/>
        </w:rPr>
        <w:t>O exame de compatibilidade e adequação orçamentária e financeira das Medidas Provisórias abrange a análise da repercussão sobre a receita ou a despesa pública da União e da implicação quanto ao atendimento das normas orçamentárias e financeiras vigentes, em especial a conformidade com a Lei Complementar nº 101, de 4 de maio de 2000, a lei do plano plurianual, a lei de diretrizes orçamentárias e a lei orçamentária da União.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A teor do disposto no art. 19 da mesma norma, o referido exame deve ocorrer tendo por base nota técnica elaborada pelo “órgão de </w:t>
      </w:r>
      <w:r w:rsidRPr="001B0E36">
        <w:rPr>
          <w:rFonts w:eastAsia="Batang"/>
          <w:color w:val="auto"/>
        </w:rPr>
        <w:t>consultoria e assessoramento orçamentário da Casa a que pertencer o Relator</w:t>
      </w:r>
      <w:r>
        <w:rPr>
          <w:rFonts w:eastAsia="Batang"/>
          <w:color w:val="auto"/>
        </w:rPr>
        <w:t>”</w:t>
      </w:r>
      <w:r w:rsidRPr="001B0E36">
        <w:rPr>
          <w:rFonts w:eastAsia="Batang"/>
          <w:color w:val="auto"/>
        </w:rPr>
        <w:t xml:space="preserve"> </w:t>
      </w:r>
      <w:r>
        <w:rPr>
          <w:rFonts w:eastAsia="Batang"/>
          <w:color w:val="auto"/>
        </w:rPr>
        <w:t>da medida provisória. Segundo conclusão constante da Nota Técnica de Adequação Orçamentária e Financeira nº 32/2015, produzida no âmbito da Consultoria de Orçamentos, Fiscalização e Controle do Senado, a propósito da MPV 694/15, “por proporcionar expectativa de aumento de receita, o impacto orçamentário e financeiro da referida Medida Provisória não afetará negativamente a execução orçamentária do presente exercício [2015] e dos seguintes, nem a meta de resultado primário estabelecida na LDO 2015 [ou, acrescentamos, na LDO 2016].”.</w:t>
      </w:r>
    </w:p>
    <w:p w:rsidR="00CC1F81" w:rsidRPr="00C000BD" w:rsidRDefault="00CC1F81" w:rsidP="00CC1F81">
      <w:pPr>
        <w:pStyle w:val="Default"/>
        <w:spacing w:before="120" w:after="120" w:line="276" w:lineRule="auto"/>
        <w:jc w:val="both"/>
        <w:rPr>
          <w:rFonts w:eastAsia="Batang"/>
          <w:i/>
          <w:color w:val="auto"/>
        </w:rPr>
      </w:pPr>
      <w:r w:rsidRPr="007A05D6">
        <w:rPr>
          <w:rFonts w:eastAsia="Batang"/>
          <w:i/>
          <w:color w:val="auto"/>
        </w:rPr>
        <w:t>2.</w:t>
      </w:r>
      <w:r>
        <w:rPr>
          <w:rFonts w:eastAsia="Batang"/>
          <w:i/>
          <w:color w:val="auto"/>
        </w:rPr>
        <w:t>4</w:t>
      </w:r>
      <w:r w:rsidRPr="007A05D6">
        <w:rPr>
          <w:rFonts w:eastAsia="Batang"/>
          <w:i/>
          <w:color w:val="auto"/>
        </w:rPr>
        <w:t xml:space="preserve">. </w:t>
      </w:r>
      <w:r>
        <w:rPr>
          <w:rFonts w:eastAsia="Batang"/>
          <w:i/>
          <w:color w:val="auto"/>
        </w:rPr>
        <w:t>C</w:t>
      </w:r>
      <w:r w:rsidRPr="00C000BD">
        <w:rPr>
          <w:rFonts w:eastAsia="Batang"/>
          <w:i/>
          <w:color w:val="auto"/>
        </w:rPr>
        <w:t xml:space="preserve">umprimento da exigência prevista </w:t>
      </w:r>
      <w:r>
        <w:rPr>
          <w:rFonts w:eastAsia="Batang"/>
          <w:i/>
          <w:color w:val="auto"/>
        </w:rPr>
        <w:t xml:space="preserve">no </w:t>
      </w:r>
      <w:r w:rsidRPr="00C000BD">
        <w:rPr>
          <w:rFonts w:eastAsia="Batang"/>
          <w:i/>
          <w:color w:val="auto"/>
        </w:rPr>
        <w:t>art. 2º</w:t>
      </w:r>
      <w:r>
        <w:rPr>
          <w:rFonts w:eastAsia="Batang"/>
          <w:i/>
          <w:color w:val="auto"/>
        </w:rPr>
        <w:t>, § 1º, da Resolução nº 1, de 2002-CN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Diz o § 1º do art. 2º da Resolução nº 1, de 2002-CN, que “</w:t>
      </w:r>
      <w:r w:rsidRPr="00C000BD">
        <w:rPr>
          <w:rFonts w:eastAsia="Batang"/>
          <w:color w:val="auto"/>
        </w:rPr>
        <w:t>No dia da publicação da Medida Provisória no Diário Oficial da União, o seu texto será enviado ao Congresso Nacional, acompanhado da respectiva Mensagem e de documento expondo a motivação do ato</w:t>
      </w:r>
      <w:r>
        <w:rPr>
          <w:rFonts w:eastAsia="Batang"/>
          <w:color w:val="auto"/>
        </w:rPr>
        <w:t xml:space="preserve">.”. Conforme o relatório de tramitação da matéria disponível no sítio eletrônico do </w:t>
      </w:r>
      <w:r>
        <w:rPr>
          <w:rFonts w:eastAsia="Batang"/>
          <w:color w:val="auto"/>
        </w:rPr>
        <w:lastRenderedPageBreak/>
        <w:t>Senado</w:t>
      </w:r>
      <w:r>
        <w:rPr>
          <w:rStyle w:val="Refdenotaderodap"/>
          <w:rFonts w:eastAsia="Batang"/>
          <w:color w:val="auto"/>
        </w:rPr>
        <w:footnoteReference w:id="1"/>
      </w:r>
      <w:r>
        <w:rPr>
          <w:rFonts w:eastAsia="Batang"/>
          <w:color w:val="auto"/>
        </w:rPr>
        <w:t>, a MPV 694/15 foi publicada no Diário Oficial da União no dia 1º de outubro de 2015, sendo o seu texto recebido pela Subsecretaria de Coordenação Legislativa do Congresso no mesmo dia. A mensagem e a exposição de motivos referentes à medida provisória estavam disponibilizadas, no sítio do Senado, já no dia seguinte. Ao que tudo indica, portanto, foi observado o disposto no art. 2º, § 1º, da Resolução nº 2, de 2002-CN.</w:t>
      </w:r>
    </w:p>
    <w:p w:rsidR="00CC1F81" w:rsidRPr="00C000BD" w:rsidRDefault="00CC1F81" w:rsidP="00CC1F81">
      <w:pPr>
        <w:pStyle w:val="Default"/>
        <w:spacing w:before="120" w:after="120" w:line="276" w:lineRule="auto"/>
        <w:jc w:val="both"/>
        <w:rPr>
          <w:rFonts w:eastAsia="Batang"/>
          <w:i/>
          <w:color w:val="auto"/>
        </w:rPr>
      </w:pPr>
      <w:r w:rsidRPr="007A05D6">
        <w:rPr>
          <w:rFonts w:eastAsia="Batang"/>
          <w:i/>
          <w:color w:val="auto"/>
        </w:rPr>
        <w:t>2.</w:t>
      </w:r>
      <w:r>
        <w:rPr>
          <w:rFonts w:eastAsia="Batang"/>
          <w:i/>
          <w:color w:val="auto"/>
        </w:rPr>
        <w:t>5</w:t>
      </w:r>
      <w:r w:rsidRPr="007A05D6">
        <w:rPr>
          <w:rFonts w:eastAsia="Batang"/>
          <w:i/>
          <w:color w:val="auto"/>
        </w:rPr>
        <w:t xml:space="preserve">. </w:t>
      </w:r>
      <w:r>
        <w:rPr>
          <w:rFonts w:eastAsia="Batang"/>
          <w:i/>
          <w:color w:val="auto"/>
        </w:rPr>
        <w:t>Emendas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 w:rsidRPr="00102DA5">
        <w:rPr>
          <w:rFonts w:eastAsia="Batang"/>
          <w:color w:val="auto"/>
        </w:rPr>
        <w:t>Foram apresentadas à Medida Provisória nº 694, de 2015, 109 emendas.</w:t>
      </w: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b/>
          <w:color w:val="auto"/>
          <w:sz w:val="28"/>
        </w:rPr>
      </w:pPr>
      <w:r w:rsidRPr="00A0102D">
        <w:rPr>
          <w:rFonts w:eastAsia="Batang"/>
          <w:b/>
          <w:color w:val="auto"/>
          <w:sz w:val="28"/>
        </w:rPr>
        <w:t>II – Voto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 w:rsidRPr="00735D54">
        <w:rPr>
          <w:rFonts w:eastAsia="Batang"/>
          <w:color w:val="auto"/>
        </w:rPr>
        <w:t>Diante do exposto, votamos pela constitucionalidade e juridicidade da Medida Provisória nº 69</w:t>
      </w:r>
      <w:r>
        <w:rPr>
          <w:rFonts w:eastAsia="Batang"/>
          <w:color w:val="auto"/>
        </w:rPr>
        <w:t>4</w:t>
      </w:r>
      <w:r w:rsidRPr="00735D54">
        <w:rPr>
          <w:rFonts w:eastAsia="Batang"/>
          <w:color w:val="auto"/>
        </w:rPr>
        <w:t>, de 2015, e pelo atendimento dos pressupostos de relevância, urgência e adequação financeira e orçamentária</w:t>
      </w:r>
      <w:r>
        <w:rPr>
          <w:rFonts w:eastAsia="Batang"/>
          <w:color w:val="auto"/>
        </w:rPr>
        <w:t>, assim como, no mérito, pela aprovação da medida</w:t>
      </w:r>
      <w:r w:rsidRPr="00735D54">
        <w:rPr>
          <w:rFonts w:eastAsia="Batang"/>
          <w:color w:val="auto"/>
        </w:rPr>
        <w:t xml:space="preserve">. </w:t>
      </w:r>
      <w:r>
        <w:rPr>
          <w:rFonts w:eastAsia="Batang"/>
          <w:color w:val="auto"/>
        </w:rPr>
        <w:t xml:space="preserve">Votando pela </w:t>
      </w:r>
      <w:r w:rsidRPr="004A2521">
        <w:rPr>
          <w:rFonts w:eastAsia="Batang"/>
          <w:color w:val="auto"/>
        </w:rPr>
        <w:t xml:space="preserve">aprovação parcial das emendas de nºs 18, 26, 28, 29, 32, 34, 35, 37, 39, 40, 41, 42, 51, 59, 61, 70, 77, 79, 90, 108 e 109, </w:t>
      </w:r>
      <w:r>
        <w:rPr>
          <w:rFonts w:eastAsia="Batang"/>
          <w:color w:val="auto"/>
        </w:rPr>
        <w:t>e pela rejeição das demais emendas, propomos a aprovação da Medida Provisória nº 694, de 2015, na forma do anexo projeto de lei de conversão.</w:t>
      </w: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 w:rsidRPr="00A0102D">
        <w:rPr>
          <w:rFonts w:eastAsia="Batang"/>
          <w:color w:val="auto"/>
        </w:rPr>
        <w:t>Sala da Comissão, em</w:t>
      </w:r>
      <w:r>
        <w:rPr>
          <w:rFonts w:eastAsia="Batang"/>
          <w:color w:val="auto"/>
        </w:rPr>
        <w:t xml:space="preserve"> </w:t>
      </w:r>
      <w:r w:rsidR="004F43DA">
        <w:rPr>
          <w:rFonts w:eastAsia="Batang"/>
          <w:color w:val="auto"/>
        </w:rPr>
        <w:t>2 de fevereiro de 2016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Default="00CC1F81" w:rsidP="00CC1F81">
      <w:pPr>
        <w:pStyle w:val="Default"/>
        <w:jc w:val="center"/>
        <w:rPr>
          <w:rFonts w:eastAsia="Batang"/>
          <w:b/>
          <w:color w:val="auto"/>
        </w:rPr>
      </w:pPr>
      <w:r>
        <w:rPr>
          <w:rFonts w:eastAsia="Batang"/>
          <w:b/>
          <w:color w:val="auto"/>
        </w:rPr>
        <w:t>Deputado Eduardo Cury</w:t>
      </w:r>
    </w:p>
    <w:p w:rsidR="00CC1F81" w:rsidRPr="00A0102D" w:rsidRDefault="00CC1F81" w:rsidP="00CC1F81">
      <w:pPr>
        <w:pStyle w:val="Default"/>
        <w:jc w:val="center"/>
        <w:rPr>
          <w:rFonts w:eastAsia="Batang"/>
          <w:b/>
          <w:color w:val="auto"/>
        </w:rPr>
      </w:pPr>
      <w:r>
        <w:rPr>
          <w:rFonts w:eastAsia="Batang"/>
          <w:b/>
          <w:color w:val="auto"/>
        </w:rPr>
        <w:t>Presidente</w:t>
      </w:r>
    </w:p>
    <w:p w:rsidR="00CC1F81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Pr="00A0102D" w:rsidRDefault="00CC1F81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CC1F81" w:rsidRDefault="00CC1F81" w:rsidP="00CC1F81">
      <w:pPr>
        <w:pStyle w:val="Default"/>
        <w:jc w:val="center"/>
        <w:rPr>
          <w:rFonts w:eastAsia="Batang"/>
          <w:b/>
          <w:color w:val="auto"/>
        </w:rPr>
      </w:pPr>
      <w:r>
        <w:rPr>
          <w:rFonts w:eastAsia="Batang"/>
          <w:b/>
          <w:color w:val="auto"/>
        </w:rPr>
        <w:t>Senador Romero Jucá</w:t>
      </w:r>
    </w:p>
    <w:p w:rsidR="00CC1F81" w:rsidRPr="00A0102D" w:rsidRDefault="00CC1F81" w:rsidP="00CC1F81">
      <w:pPr>
        <w:pStyle w:val="Default"/>
        <w:jc w:val="center"/>
        <w:rPr>
          <w:rFonts w:eastAsia="Batang"/>
          <w:b/>
          <w:color w:val="auto"/>
        </w:rPr>
      </w:pPr>
      <w:r>
        <w:rPr>
          <w:rFonts w:eastAsia="Batang"/>
          <w:b/>
          <w:color w:val="auto"/>
        </w:rPr>
        <w:t>Relator</w:t>
      </w:r>
    </w:p>
    <w:p w:rsidR="00CC1F81" w:rsidRDefault="00CC1F81">
      <w:pPr>
        <w:spacing w:after="160" w:line="259" w:lineRule="auto"/>
        <w:rPr>
          <w:rFonts w:eastAsia="Batang"/>
          <w:b/>
          <w:sz w:val="24"/>
          <w:szCs w:val="24"/>
        </w:rPr>
      </w:pPr>
    </w:p>
    <w:p w:rsidR="00CC1F81" w:rsidRDefault="00CC1F81" w:rsidP="0083366B">
      <w:pPr>
        <w:pStyle w:val="Default"/>
        <w:spacing w:before="120" w:after="120" w:line="276" w:lineRule="auto"/>
        <w:jc w:val="center"/>
        <w:rPr>
          <w:rFonts w:eastAsia="Batang"/>
          <w:b/>
          <w:color w:val="auto"/>
        </w:rPr>
      </w:pPr>
    </w:p>
    <w:p w:rsidR="001F37DE" w:rsidRDefault="001F37DE" w:rsidP="0083366B">
      <w:pPr>
        <w:pStyle w:val="Default"/>
        <w:spacing w:before="120" w:after="120" w:line="276" w:lineRule="auto"/>
        <w:jc w:val="center"/>
        <w:rPr>
          <w:rFonts w:eastAsia="Batang"/>
          <w:b/>
          <w:color w:val="auto"/>
        </w:rPr>
      </w:pPr>
    </w:p>
    <w:p w:rsidR="001F37DE" w:rsidRDefault="001F37DE" w:rsidP="0083366B">
      <w:pPr>
        <w:pStyle w:val="Default"/>
        <w:spacing w:before="120" w:after="120" w:line="276" w:lineRule="auto"/>
        <w:jc w:val="center"/>
        <w:rPr>
          <w:rFonts w:eastAsia="Batang"/>
          <w:b/>
          <w:color w:val="auto"/>
        </w:rPr>
      </w:pPr>
    </w:p>
    <w:p w:rsidR="0083366B" w:rsidRPr="009768FB" w:rsidRDefault="0083366B" w:rsidP="0083366B">
      <w:pPr>
        <w:pStyle w:val="Default"/>
        <w:spacing w:before="120" w:after="120" w:line="276" w:lineRule="auto"/>
        <w:jc w:val="center"/>
        <w:rPr>
          <w:rFonts w:eastAsia="Batang"/>
          <w:b/>
          <w:color w:val="auto"/>
        </w:rPr>
      </w:pPr>
      <w:r w:rsidRPr="009768FB">
        <w:rPr>
          <w:rFonts w:eastAsia="Batang"/>
          <w:b/>
          <w:color w:val="auto"/>
        </w:rPr>
        <w:lastRenderedPageBreak/>
        <w:t>PROJETO DE LEI CONVERSÃO</w:t>
      </w:r>
    </w:p>
    <w:p w:rsidR="0083366B" w:rsidRPr="009768FB" w:rsidRDefault="0083366B" w:rsidP="0083366B">
      <w:pPr>
        <w:pStyle w:val="Default"/>
        <w:spacing w:before="120" w:after="120" w:line="276" w:lineRule="auto"/>
        <w:jc w:val="center"/>
        <w:rPr>
          <w:rFonts w:eastAsia="Batang"/>
          <w:b/>
          <w:color w:val="auto"/>
        </w:rPr>
      </w:pPr>
      <w:r w:rsidRPr="009768FB">
        <w:rPr>
          <w:rFonts w:eastAsia="Batang"/>
          <w:b/>
          <w:color w:val="auto"/>
        </w:rPr>
        <w:t>(À MEDIDA PROVISÓRIA Nº 694, DE 2015)</w:t>
      </w:r>
    </w:p>
    <w:p w:rsidR="0083366B" w:rsidRDefault="0083366B" w:rsidP="0083366B">
      <w:pPr>
        <w:pStyle w:val="Default"/>
        <w:spacing w:before="120" w:after="120" w:line="276" w:lineRule="auto"/>
        <w:jc w:val="center"/>
        <w:rPr>
          <w:rFonts w:eastAsia="Batang"/>
          <w:color w:val="auto"/>
        </w:rPr>
      </w:pPr>
    </w:p>
    <w:p w:rsidR="0083366B" w:rsidRDefault="0083366B" w:rsidP="0083366B">
      <w:pPr>
        <w:pStyle w:val="Default"/>
        <w:spacing w:before="120" w:after="120" w:line="276" w:lineRule="auto"/>
        <w:ind w:left="4248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Dispõe sobre o imposto sobre a renda incidente sobre os juros de capital próprio, o Adicional do Frete para Renovação da Marinha Mercante – AFRMM –, o regime especial da indústria química, o tratamento tributário aplicável à pesquisa tecnológica e ao desenvolvimento tecnológico, a incidência do imposto sobre a renda, retido na fonte, sobre os valores creditados, entregues, empregados ou remetidos ao exterior, o tratamento tributário dispensado à indústria têxtil, a liquidação das operações de crédito rural que especifica e dá outras providências.</w:t>
      </w:r>
    </w:p>
    <w:p w:rsidR="0083366B" w:rsidRDefault="0083366B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</w:p>
    <w:p w:rsidR="0083366B" w:rsidRDefault="0083366B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 w:rsidRPr="001C0661">
        <w:rPr>
          <w:rFonts w:eastAsia="Batang"/>
          <w:b/>
          <w:color w:val="auto"/>
        </w:rPr>
        <w:t>O CONGRESSO NACIONAL</w:t>
      </w:r>
      <w:r>
        <w:rPr>
          <w:rFonts w:eastAsia="Batang"/>
          <w:color w:val="auto"/>
        </w:rPr>
        <w:t xml:space="preserve"> decreta:</w:t>
      </w:r>
    </w:p>
    <w:p w:rsidR="0083366B" w:rsidRDefault="0083366B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 </w:t>
      </w:r>
    </w:p>
    <w:p w:rsidR="0083366B" w:rsidRDefault="0083366B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Art. </w:t>
      </w:r>
      <w:r w:rsidR="00B16073">
        <w:rPr>
          <w:rFonts w:eastAsia="Batang"/>
          <w:color w:val="auto"/>
        </w:rPr>
        <w:t xml:space="preserve">1º  </w:t>
      </w:r>
      <w:r>
        <w:rPr>
          <w:rFonts w:eastAsia="Batang"/>
          <w:color w:val="auto"/>
        </w:rPr>
        <w:t>A Lei nº 9.249, de 26 de dezembro de 1995, passa a vigorar com as seguintes alterações: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“Art. 9º  A pessoa jurídica poderá deduzir, para efeitos da apuração do lucro real, os juros pagos ou creditados, individualmente, a titular, sócio ou acionista, a título de remuneração do capital próprio, calculados sobre as contas do patrimônio líquido e limitados, </w:t>
      </w:r>
      <w:r w:rsidRPr="001C0661">
        <w:rPr>
          <w:rFonts w:eastAsia="Batang"/>
          <w:b/>
          <w:color w:val="auto"/>
        </w:rPr>
        <w:t>pro rata die</w:t>
      </w:r>
      <w:r>
        <w:rPr>
          <w:rFonts w:eastAsia="Batang"/>
          <w:color w:val="auto"/>
        </w:rPr>
        <w:t>, à Taxa de Juros de Longo Prazo – TJLP ou a cinco por cento ao ano, o que for menor.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§ 2º  Os juros de que trata o </w:t>
      </w:r>
      <w:r w:rsidRPr="00050075">
        <w:rPr>
          <w:rFonts w:eastAsia="Batang"/>
          <w:b/>
          <w:color w:val="auto"/>
        </w:rPr>
        <w:t>caput</w:t>
      </w:r>
      <w:r>
        <w:rPr>
          <w:rFonts w:eastAsia="Batang"/>
          <w:color w:val="auto"/>
        </w:rPr>
        <w:t xml:space="preserve"> sujeitam-se à incidência do imposto de renda na fonte, à alíquota de dezoito por cento, na data do pagamento ou do crédito feito ao beneficiário.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...........................................................................................................”(NR)</w:t>
      </w:r>
    </w:p>
    <w:p w:rsidR="0083366B" w:rsidRDefault="0083366B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lastRenderedPageBreak/>
        <w:t xml:space="preserve">Art. </w:t>
      </w:r>
      <w:r w:rsidR="00B16073">
        <w:rPr>
          <w:rFonts w:eastAsia="Batang"/>
          <w:color w:val="auto"/>
        </w:rPr>
        <w:t xml:space="preserve">2º  </w:t>
      </w:r>
      <w:r>
        <w:rPr>
          <w:rFonts w:eastAsia="Batang"/>
          <w:color w:val="auto"/>
        </w:rPr>
        <w:t>O art. 17 da Lei nº 9.432, de 8 de janeiro de 1997, passa a vigorar com a seguinte redação: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“Art. 17.  Pelo prazo de quatro anos, contado a partir de 1º de janeiro de 2016, não incidirá o Adicional do Frete para Renovação da Marinha Mercante – AFRMM sobre as mercadorias cuja origem ou destino seja porto localizado no Estado do Espírito Santo ou em Estado da Região Norte ou da Região Nordeste do país.” (NR)</w:t>
      </w:r>
    </w:p>
    <w:p w:rsidR="0083366B" w:rsidRDefault="0083366B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Art. </w:t>
      </w:r>
      <w:r w:rsidR="00B16073">
        <w:rPr>
          <w:rFonts w:eastAsia="Batang"/>
          <w:color w:val="auto"/>
        </w:rPr>
        <w:t xml:space="preserve">3º  </w:t>
      </w:r>
      <w:r>
        <w:rPr>
          <w:rFonts w:eastAsia="Batang"/>
          <w:color w:val="auto"/>
        </w:rPr>
        <w:t>A Lei nº 10.865, de 30 de abril de 2004, passa a vigorar com as seguintes alterações: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“Art. 8º  ......................................................................................................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§ 15.  ...........................................................................................................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.....................................................................................................................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I – 1,11% (um inteiro e onze centésimos por cento) e 5,02% (cinco inteiros e dois centésimos por cento), para os fatos geradores ocorridos no ano de 2016;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II – 1,11% (um inteiro e onze centésimos por cento) e 5,02% (cinco inteiros e dois centésimos por cento), para os fatos geradores ocorridos no ano de 2017;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III – 1,11% (um inteiro e onze centésimos por cento) e 5,02% (cinco inteiros e dois centésimos por cento), para os fatos geradores ocorridos no ano de 2018;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IV – 1,29% (um inteiro e vinte e nove centésimos por cento) e 5,83% (cinco inteiros e oitenta e três centésimos por cento), para os fatos geradores ocorridos em 2019;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V – 1,29% (um inteiro e vinte e nove centésimos por cento) e 5,83% (cinco inteiros e oitenta e três centésimos por cento), para os fatos geradores ocorridos no ano de 2020;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VI – 1,47% (um inteiro e quarenta e sete centésimos por cento) e 6,65% (seis inteiros e sessenta e cinco centésimos por cento), para os fatos geradores ocorridos a partir do ano de 2021.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...........................................................................................................”</w:t>
      </w:r>
      <w:r w:rsidR="00B16073">
        <w:rPr>
          <w:rFonts w:eastAsia="Batang"/>
          <w:color w:val="auto"/>
        </w:rPr>
        <w:t xml:space="preserve"> </w:t>
      </w:r>
      <w:r>
        <w:rPr>
          <w:rFonts w:eastAsia="Batang"/>
          <w:color w:val="auto"/>
        </w:rPr>
        <w:t>(NR)</w:t>
      </w:r>
    </w:p>
    <w:p w:rsidR="0083366B" w:rsidRDefault="0083366B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lastRenderedPageBreak/>
        <w:t xml:space="preserve">Art. </w:t>
      </w:r>
      <w:r w:rsidR="00B16073">
        <w:rPr>
          <w:rFonts w:eastAsia="Batang"/>
          <w:color w:val="auto"/>
        </w:rPr>
        <w:t xml:space="preserve">4º  </w:t>
      </w:r>
      <w:r>
        <w:rPr>
          <w:rFonts w:eastAsia="Batang"/>
          <w:color w:val="auto"/>
        </w:rPr>
        <w:t>A Lei nº 11.196, de 21 de novembro de 2005, passa a vigorar com a</w:t>
      </w:r>
      <w:r w:rsidR="00B16073">
        <w:rPr>
          <w:rFonts w:eastAsia="Batang"/>
          <w:color w:val="auto"/>
        </w:rPr>
        <w:t>s</w:t>
      </w:r>
      <w:r>
        <w:rPr>
          <w:rFonts w:eastAsia="Batang"/>
          <w:color w:val="auto"/>
        </w:rPr>
        <w:t xml:space="preserve"> seguinte</w:t>
      </w:r>
      <w:r w:rsidR="00B16073">
        <w:rPr>
          <w:rFonts w:eastAsia="Batang"/>
          <w:color w:val="auto"/>
        </w:rPr>
        <w:t>s</w:t>
      </w:r>
      <w:r>
        <w:rPr>
          <w:rFonts w:eastAsia="Batang"/>
          <w:color w:val="auto"/>
        </w:rPr>
        <w:t xml:space="preserve"> </w:t>
      </w:r>
      <w:r w:rsidR="00B16073">
        <w:rPr>
          <w:rFonts w:eastAsia="Batang"/>
          <w:color w:val="auto"/>
        </w:rPr>
        <w:t>alterações</w:t>
      </w:r>
      <w:r>
        <w:rPr>
          <w:rFonts w:eastAsia="Batang"/>
          <w:color w:val="auto"/>
        </w:rPr>
        <w:t>: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 w:rsidRPr="00B33E41">
        <w:rPr>
          <w:rFonts w:eastAsia="Batang"/>
          <w:color w:val="auto"/>
        </w:rPr>
        <w:t xml:space="preserve">“Art. 19.  </w:t>
      </w:r>
      <w:r>
        <w:rPr>
          <w:rFonts w:eastAsia="Batang"/>
          <w:color w:val="auto"/>
        </w:rPr>
        <w:t>.....................................................................................................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§ 7º  O gozo do benefício fiscal de que trata este artigo fica suspenso no ano-calendário de 2016, podendo o benefício ser aproveitado ao longo dos anos-calendários de 2017 e 2018, limitado o aproveitamento à razão máxima de 50% (cinquenta por cento) ao ano ou ao valor do lucro real e da base de cálculo da CSLL,</w:t>
      </w:r>
      <w:r w:rsidRPr="0030668C">
        <w:rPr>
          <w:rFonts w:eastAsia="Batang"/>
          <w:color w:val="auto"/>
        </w:rPr>
        <w:t xml:space="preserve"> </w:t>
      </w:r>
      <w:r>
        <w:rPr>
          <w:rFonts w:eastAsia="Batang"/>
          <w:color w:val="auto"/>
        </w:rPr>
        <w:t>o que for menor, e vedado, após 2018, o aproveitamento de saldo remanescente. (NR)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Art. 19-A.  .................................................................................................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§ 13.  O gozo do benefício fiscal de que trata este artigo fica suspenso no ano-calendário de 2016, podendo o benefício ser aproveitado ao longo dos anos-calendários de 2017 e 2018, limitado o aproveitamento à razão máxima de 50% (cinquenta por cento) ao ano ou ao valor do lucro real e da base de cálculo da CSLL,</w:t>
      </w:r>
      <w:r w:rsidRPr="0030668C">
        <w:rPr>
          <w:rFonts w:eastAsia="Batang"/>
          <w:color w:val="auto"/>
        </w:rPr>
        <w:t xml:space="preserve"> </w:t>
      </w:r>
      <w:r>
        <w:rPr>
          <w:rFonts w:eastAsia="Batang"/>
          <w:color w:val="auto"/>
        </w:rPr>
        <w:t>o que for menor, e vedado, após 2018, o aproveitamento de saldo remanescente. (NR)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Art. 26.  ......................................................................................................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 w:rsidRPr="00961842">
        <w:rPr>
          <w:rFonts w:eastAsia="Batang"/>
          <w:color w:val="auto"/>
        </w:rPr>
        <w:t xml:space="preserve">§ 5º  </w:t>
      </w:r>
      <w:r>
        <w:rPr>
          <w:rFonts w:eastAsia="Batang"/>
          <w:color w:val="auto"/>
        </w:rPr>
        <w:t>O gozo do benefício fiscal de que trata este artigo fica suspenso no ano-calendário de 2016, podendo o benefício ser aproveitado ao longo dos anos-calendários de 2017 e 2018, limitado o aproveitamento à razão máxima de 50% (cinquenta por cento) ao ano ou ao valor do lucro real e da base de cálculo da CSLL,</w:t>
      </w:r>
      <w:r w:rsidRPr="0030668C">
        <w:rPr>
          <w:rFonts w:eastAsia="Batang"/>
          <w:color w:val="auto"/>
        </w:rPr>
        <w:t xml:space="preserve"> </w:t>
      </w:r>
      <w:r>
        <w:rPr>
          <w:rFonts w:eastAsia="Batang"/>
          <w:color w:val="auto"/>
        </w:rPr>
        <w:t>o que for menor, e vedado, após 2018, o aproveitamento de saldo remanescente.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..........................................................................................................” (NR)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Art. 56.  ....................................................................................................</w:t>
      </w:r>
      <w:r w:rsidR="00B16073">
        <w:rPr>
          <w:rFonts w:eastAsia="Batang"/>
          <w:color w:val="auto"/>
        </w:rPr>
        <w:t>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lastRenderedPageBreak/>
        <w:t>I – 1,11% (um inteiro e onze centésimos por cento) e 5,02% (cinco inteiros e dois centésimos por cento), para os fatos geradores ocorridos no ano de 2016;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II – 1,11% (um inteiro e onze centésimos por cento) e 5,02% (cinco inteiros e dois centésimos por cento), para os fatos geradores ocorridos no ano de 2017;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III – 1,11% (um inteiro e onze centésimos por cento) e 5,02% (cinco inteiros e dois centésimos por cento), para os fatos geradores ocorridos no ano de 2018;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IV – 1,29% (um inteiro e vinte e nove centésimos por cento) e 5,83% (cinco inteiros e oitenta e três centésimos por cento), para os fatos geradores ocorridos em 2019;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V – 1,29% (um inteiro e vinte e nove centésimos por cento) e 5,83% (cinco inteiros e oitenta e três centésimos por cento), para os fatos geradores ocorridos no ano de 2020;</w:t>
      </w:r>
    </w:p>
    <w:p w:rsidR="0083366B" w:rsidRPr="00233EB1" w:rsidRDefault="0083366B" w:rsidP="0083366B">
      <w:pPr>
        <w:autoSpaceDE w:val="0"/>
        <w:autoSpaceDN w:val="0"/>
        <w:adjustRightInd w:val="0"/>
        <w:spacing w:before="120" w:after="120" w:line="276" w:lineRule="auto"/>
        <w:ind w:left="708" w:firstLine="709"/>
        <w:jc w:val="both"/>
        <w:rPr>
          <w:rFonts w:eastAsia="Batang"/>
          <w:sz w:val="24"/>
          <w:szCs w:val="24"/>
        </w:rPr>
      </w:pPr>
      <w:r w:rsidRPr="00233EB1">
        <w:rPr>
          <w:rFonts w:eastAsia="Batang"/>
          <w:sz w:val="24"/>
          <w:szCs w:val="24"/>
        </w:rPr>
        <w:t>VI – 1,47% (um inteiro e quarenta e sete centésimos por cento) e 6,65% (seis inteiros e sessenta e cinco centésimos por cento), para os fatos geradores ocorridos a partir do ano de 2021.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...........................................................................................................”</w:t>
      </w:r>
      <w:r w:rsidR="00B16073">
        <w:rPr>
          <w:rFonts w:eastAsia="Batang"/>
          <w:color w:val="auto"/>
        </w:rPr>
        <w:t xml:space="preserve"> </w:t>
      </w:r>
      <w:r>
        <w:rPr>
          <w:rFonts w:eastAsia="Batang"/>
          <w:color w:val="auto"/>
        </w:rPr>
        <w:t>(NR)</w:t>
      </w:r>
    </w:p>
    <w:p w:rsidR="0083366B" w:rsidRDefault="0083366B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Art. </w:t>
      </w:r>
      <w:r w:rsidR="00B16073">
        <w:rPr>
          <w:rFonts w:eastAsia="Batang"/>
          <w:color w:val="auto"/>
        </w:rPr>
        <w:t xml:space="preserve">5º  </w:t>
      </w:r>
      <w:r>
        <w:rPr>
          <w:rFonts w:eastAsia="Batang"/>
          <w:color w:val="auto"/>
        </w:rPr>
        <w:t>A partir de 1º de janeiro de 2016, o art. 60 da Lei nº 12.249, de 11 de junho de 2010, passa a vigorar com a seguinte redação: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“Art. 60.  Até 31 de dezembro de 2019, fica reduzida a 6% (seis por cento) a alíquota do </w:t>
      </w:r>
      <w:r w:rsidRPr="005E4021">
        <w:rPr>
          <w:rFonts w:eastAsia="Batang"/>
          <w:color w:val="auto"/>
        </w:rPr>
        <w:t>imposto sobre a renda</w:t>
      </w:r>
      <w:r>
        <w:rPr>
          <w:rFonts w:eastAsia="Batang"/>
          <w:color w:val="auto"/>
        </w:rPr>
        <w:t xml:space="preserve"> retido na fonte, incidente sobre os valores pagos, creditados, entregues, empregados ou remetidos a pessoa física ou jurídica residente ou domiciliada no exterior, destinados à cobertura de gastos pessoais, no exterior, de pessoas físicas residentes no país, em viagens de turismo, negócios, serviço, treinamento ou missões oficiais, até o limite global de R$20.000,00 (vinte mil reais) ao mês, nos termos, limites e condições estabelecidos pelo Poder Executivo.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......................................................................................................................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§ 2º  Salvo se atendidas as condições previstas no art. 26 da Lei nº 12.249, de 11 de junho de 2010, a redução da alíquota prevista no </w:t>
      </w:r>
      <w:r w:rsidRPr="00050075">
        <w:rPr>
          <w:rFonts w:eastAsia="Batang"/>
          <w:b/>
          <w:color w:val="auto"/>
        </w:rPr>
        <w:t>caput</w:t>
      </w:r>
      <w:r>
        <w:rPr>
          <w:rFonts w:eastAsia="Batang"/>
          <w:color w:val="auto"/>
        </w:rPr>
        <w:t xml:space="preserve"> não se aplica ao caso de beneficiário residente ou domiciliado em país ou dependência com tributação favorecida ou pessoa física ou jurídica submetida a regime fiscal </w:t>
      </w:r>
      <w:r>
        <w:rPr>
          <w:rFonts w:eastAsia="Batang"/>
          <w:color w:val="auto"/>
        </w:rPr>
        <w:lastRenderedPageBreak/>
        <w:t>privilegiado, de que tratam os arts. 24 e 24-A da Lei nº 9.430, de 27 de dezembro de 1996.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§ 3º  As operadoras e agências de viagens, na hipótese de cumprimento da ressalva constante do § 2º, sujeitam-se ao limite de R$10.000,00 (dez mil reais), ao mês, por passageiro, obedecida a regulamentação do Poder Executivo, quanto a limites, quantidade de passageiros e condições para utilização da redução, conforme o tipo de gasto custeado.</w:t>
      </w:r>
    </w:p>
    <w:p w:rsidR="0083366B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§ 4º  Para fins de cumprimento das condições para utilização da alíquota reduzida de que trata este artigo, as operadoras e agências de viagem deverão ser cadastradas no Ministério do Turismo, e suas operações devem ser realizadas por intermédio de instituição financeira domiciliada no país.” (NR)</w:t>
      </w:r>
    </w:p>
    <w:p w:rsidR="00B16073" w:rsidRPr="00471725" w:rsidRDefault="0083366B" w:rsidP="00B16073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 w:rsidRPr="00471725">
        <w:rPr>
          <w:rFonts w:eastAsia="Batang"/>
          <w:color w:val="auto"/>
        </w:rPr>
        <w:t xml:space="preserve">Art. </w:t>
      </w:r>
      <w:r w:rsidR="00B16073">
        <w:rPr>
          <w:rFonts w:eastAsia="Batang"/>
          <w:color w:val="auto"/>
        </w:rPr>
        <w:t xml:space="preserve">6º  </w:t>
      </w:r>
      <w:r w:rsidR="00B16073" w:rsidRPr="00471725">
        <w:rPr>
          <w:rFonts w:eastAsia="Batang"/>
          <w:color w:val="auto"/>
        </w:rPr>
        <w:t>A Lei nº 12.844, de 19 de julho de 2013, passa a vigorar com as seguintes alterações:</w:t>
      </w:r>
    </w:p>
    <w:p w:rsidR="00B16073" w:rsidRPr="00471725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 w:rsidRPr="00471725">
        <w:rPr>
          <w:rFonts w:eastAsia="Batang"/>
          <w:color w:val="auto"/>
        </w:rPr>
        <w:t>“Art. 8º  Fica autorizada a concessão de rebate para liquidação, até 31 de dezembro de 2016, das operações de crédito rural de valor originalmente contratado até R$100.000,00 (cem mil reais), referentes a uma ou mais operações do mesmo mutuário, com recursos de fontes públicas, relativas a empreendimentos localizados na área de abrangência da Superintendência de Desenvolvimento do Nordeste – Sudene, contratadas até 31 de dezembro de 2006, observadas as seguintes condições: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 w:rsidRPr="00471725">
        <w:rPr>
          <w:rFonts w:eastAsia="Batang"/>
          <w:color w:val="auto"/>
        </w:rPr>
        <w:t>......................................................................................</w:t>
      </w:r>
      <w:r>
        <w:rPr>
          <w:rFonts w:eastAsia="Batang"/>
          <w:color w:val="auto"/>
        </w:rPr>
        <w:t>............................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§ 12.  Ficam suspensos o encaminhamento para cobrança judicial, as execuções judiciais e os respectivos prazos processuais referentes às operações enquadráveis neste artigo até 31 de dezembro de 2016.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§ 13.  O prazo de prescrição das dívidas de que trata o </w:t>
      </w:r>
      <w:r w:rsidRPr="00050075">
        <w:rPr>
          <w:rFonts w:eastAsia="Batang"/>
          <w:b/>
          <w:color w:val="auto"/>
        </w:rPr>
        <w:t>caput</w:t>
      </w:r>
      <w:r>
        <w:rPr>
          <w:rFonts w:eastAsia="Batang"/>
          <w:color w:val="auto"/>
        </w:rPr>
        <w:t xml:space="preserve"> fica suspenso a partir da data de publicação desta Lei até 31 de dezembro de 2016.</w:t>
      </w:r>
    </w:p>
    <w:p w:rsidR="00B16073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§ 14.  As operações de risco da União, enquadradas neste artigo, não devem ser encaminhadas para inscrição na Dívida Ativa da União até 31 de dezembro de 2016.</w:t>
      </w:r>
    </w:p>
    <w:p w:rsidR="00B16073" w:rsidRPr="00471725" w:rsidRDefault="00B16073" w:rsidP="00B16073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..........................................................................................................” (NR)</w:t>
      </w:r>
    </w:p>
    <w:p w:rsidR="0083366B" w:rsidRPr="00471725" w:rsidRDefault="00B16073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 xml:space="preserve">Art. 7º  </w:t>
      </w:r>
      <w:r w:rsidR="0083366B" w:rsidRPr="00471725">
        <w:rPr>
          <w:rFonts w:eastAsia="Batang"/>
          <w:color w:val="auto"/>
        </w:rPr>
        <w:t>O art. 8º-A da Lei nº 12.546, de 2011, incluído pela Lei nº 13.161, de 2015, passa a vigorar com a seguinte redação:</w:t>
      </w:r>
      <w:bookmarkStart w:id="0" w:name="_GoBack"/>
      <w:bookmarkEnd w:id="0"/>
    </w:p>
    <w:p w:rsidR="0083366B" w:rsidRPr="00471725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 w:rsidRPr="00471725">
        <w:rPr>
          <w:rFonts w:eastAsia="Batang"/>
          <w:color w:val="auto"/>
        </w:rPr>
        <w:lastRenderedPageBreak/>
        <w:t>“Art. 8º-A</w:t>
      </w:r>
      <w:r w:rsidR="00F768DA">
        <w:rPr>
          <w:rFonts w:eastAsia="Batang"/>
          <w:color w:val="auto"/>
        </w:rPr>
        <w:t>.</w:t>
      </w:r>
      <w:r w:rsidRPr="00471725">
        <w:rPr>
          <w:rFonts w:eastAsia="Batang"/>
          <w:color w:val="auto"/>
        </w:rPr>
        <w:t xml:space="preserve">  A alíquota da contribuição sobre a receita bruta prevista no art. </w:t>
      </w:r>
      <w:r w:rsidR="00A921A3">
        <w:rPr>
          <w:rFonts w:eastAsia="Batang"/>
          <w:color w:val="auto"/>
        </w:rPr>
        <w:t>8º</w:t>
      </w:r>
      <w:r w:rsidRPr="00471725">
        <w:rPr>
          <w:rFonts w:eastAsia="Batang"/>
          <w:color w:val="auto"/>
        </w:rPr>
        <w:t> será de 2,5% (dois inteiros e cinco décimos por cento), exceto para as empresas constantes dos incisos II a IX e XIII a XVI do § 3</w:t>
      </w:r>
      <w:r>
        <w:rPr>
          <w:rFonts w:eastAsia="Batang"/>
          <w:color w:val="auto"/>
        </w:rPr>
        <w:t>º</w:t>
      </w:r>
      <w:r w:rsidRPr="00471725">
        <w:rPr>
          <w:rFonts w:eastAsia="Batang"/>
          <w:color w:val="auto"/>
        </w:rPr>
        <w:t> do art. 8</w:t>
      </w:r>
      <w:r>
        <w:rPr>
          <w:rFonts w:eastAsia="Batang"/>
          <w:color w:val="auto"/>
        </w:rPr>
        <w:t>º</w:t>
      </w:r>
      <w:r w:rsidRPr="00471725">
        <w:rPr>
          <w:rFonts w:eastAsia="Batang"/>
          <w:color w:val="auto"/>
        </w:rPr>
        <w:t> e para as empresas que fabricam os produtos classificados na</w:t>
      </w:r>
      <w:hyperlink r:id="rId7" w:history="1">
        <w:r w:rsidRPr="00471725">
          <w:rPr>
            <w:rFonts w:eastAsia="Batang"/>
            <w:color w:val="auto"/>
          </w:rPr>
          <w:t> Tipi</w:t>
        </w:r>
      </w:hyperlink>
      <w:r w:rsidRPr="00471725">
        <w:rPr>
          <w:rFonts w:eastAsia="Batang"/>
          <w:color w:val="auto"/>
        </w:rPr>
        <w:t> nos códigos 6309.00, 64.01 a 64.06 e 87.02, exceto 8702.90.10, que contribuirão à alíquota de 1,5% (um inteiro e cinco décimos por cento), para as empresas que fabricam os produtos classificados na Tipi nos capítulos 61 e 62, que contribuirão à alíquota de 2% (dois por cento) e para as empresas que fabricam os produtos classificados na </w:t>
      </w:r>
      <w:hyperlink r:id="rId8" w:history="1">
        <w:r w:rsidRPr="00471725">
          <w:rPr>
            <w:rFonts w:eastAsia="Batang"/>
            <w:color w:val="auto"/>
          </w:rPr>
          <w:t>Tipi</w:t>
        </w:r>
      </w:hyperlink>
      <w:r w:rsidRPr="00471725">
        <w:rPr>
          <w:rFonts w:eastAsia="Batang"/>
          <w:color w:val="auto"/>
        </w:rPr>
        <w:t> nos códigos 02.03, 0206.30.00, 0206.4, 02.07, 02.09, 02.10.1, 0210.99.00, 03.03, 03.04, 0504.00, 05.05, 1601.00.00, 16.02, 1901.20.00 Ex 01, 1905.90.90 Ex 01 e 03.02, exceto 0302.90.00, que contribuirão à alíquota de 1% (um por cento).</w:t>
      </w:r>
    </w:p>
    <w:p w:rsidR="0083366B" w:rsidRPr="00471725" w:rsidRDefault="0083366B" w:rsidP="0083366B">
      <w:pPr>
        <w:pStyle w:val="Default"/>
        <w:spacing w:before="120" w:after="120" w:line="276" w:lineRule="auto"/>
        <w:ind w:left="708" w:firstLine="709"/>
        <w:jc w:val="both"/>
        <w:rPr>
          <w:rFonts w:eastAsia="Batang"/>
          <w:color w:val="auto"/>
        </w:rPr>
      </w:pPr>
      <w:r>
        <w:rPr>
          <w:rFonts w:eastAsia="Batang"/>
          <w:color w:val="auto"/>
        </w:rPr>
        <w:t>Parágrafo único.  Excluem</w:t>
      </w:r>
      <w:r w:rsidRPr="00471725">
        <w:rPr>
          <w:rFonts w:eastAsia="Batang"/>
          <w:color w:val="auto"/>
        </w:rPr>
        <w:t xml:space="preserve">-se do disposto no </w:t>
      </w:r>
      <w:r w:rsidRPr="00050075">
        <w:rPr>
          <w:rFonts w:eastAsia="Batang"/>
          <w:b/>
          <w:color w:val="auto"/>
        </w:rPr>
        <w:t>caput</w:t>
      </w:r>
      <w:r w:rsidRPr="00471725">
        <w:rPr>
          <w:rFonts w:eastAsia="Batang"/>
          <w:color w:val="auto"/>
        </w:rPr>
        <w:t xml:space="preserve"> as empresas que fabricam vestuário e seus acessórios classificados nos códigos NCM 61 e 62, que poderão contribuir à alíquota de 2,0% (dois por cento) sobre a receita bruta prevista no art. 8º.” (NR)</w:t>
      </w:r>
    </w:p>
    <w:p w:rsidR="0083366B" w:rsidRPr="00471725" w:rsidRDefault="0083366B" w:rsidP="0083366B">
      <w:pPr>
        <w:pStyle w:val="Default"/>
        <w:spacing w:before="120" w:after="120" w:line="276" w:lineRule="auto"/>
        <w:ind w:firstLine="709"/>
        <w:jc w:val="both"/>
        <w:rPr>
          <w:rFonts w:eastAsia="Batang"/>
          <w:color w:val="auto"/>
        </w:rPr>
      </w:pPr>
      <w:r w:rsidRPr="00471725">
        <w:rPr>
          <w:rFonts w:eastAsia="Batang"/>
          <w:color w:val="auto"/>
        </w:rPr>
        <w:t xml:space="preserve">Art. </w:t>
      </w:r>
      <w:r w:rsidR="00B16073">
        <w:rPr>
          <w:rFonts w:eastAsia="Batang"/>
          <w:color w:val="auto"/>
        </w:rPr>
        <w:t xml:space="preserve">8º  </w:t>
      </w:r>
      <w:r w:rsidRPr="00471725">
        <w:rPr>
          <w:rFonts w:eastAsia="Batang"/>
          <w:color w:val="auto"/>
        </w:rPr>
        <w:t>Esta Lei entra em vigor na data de sua publicação, produzindo efeitos:</w:t>
      </w:r>
    </w:p>
    <w:p w:rsidR="008D4E92" w:rsidRDefault="0083366B" w:rsidP="0083366B">
      <w:pPr>
        <w:pStyle w:val="04ParteNormativa"/>
        <w:rPr>
          <w:rFonts w:eastAsia="Batang"/>
        </w:rPr>
      </w:pPr>
      <w:r w:rsidRPr="00B33E41">
        <w:rPr>
          <w:rFonts w:eastAsia="Batang"/>
        </w:rPr>
        <w:t xml:space="preserve">I </w:t>
      </w:r>
      <w:r w:rsidR="00D412B8">
        <w:rPr>
          <w:rFonts w:eastAsia="Batang"/>
        </w:rPr>
        <w:t xml:space="preserve">– </w:t>
      </w:r>
      <w:r w:rsidR="008D4E92">
        <w:rPr>
          <w:rFonts w:eastAsia="Batang"/>
        </w:rPr>
        <w:t>imediatamente, em relação ao art. 2º</w:t>
      </w:r>
      <w:r w:rsidR="00F768DA">
        <w:rPr>
          <w:rFonts w:eastAsia="Batang"/>
        </w:rPr>
        <w:t>, 5º e 6º</w:t>
      </w:r>
      <w:r w:rsidR="008D4E92">
        <w:rPr>
          <w:rFonts w:eastAsia="Batang"/>
        </w:rPr>
        <w:t>;</w:t>
      </w:r>
    </w:p>
    <w:p w:rsidR="00F768DA" w:rsidRDefault="008D4E92" w:rsidP="0083366B">
      <w:pPr>
        <w:pStyle w:val="04ParteNormativa"/>
        <w:rPr>
          <w:rFonts w:eastAsia="Batang"/>
        </w:rPr>
      </w:pPr>
      <w:r>
        <w:rPr>
          <w:rFonts w:eastAsia="Batang"/>
        </w:rPr>
        <w:t xml:space="preserve">II – </w:t>
      </w:r>
      <w:r w:rsidR="00F768DA">
        <w:rPr>
          <w:rFonts w:eastAsia="Batang"/>
        </w:rPr>
        <w:t>no primeiro dia do quarto mês subsequente à data de sua publicação, em relação aos arts. 3º, 4º e 7º;</w:t>
      </w:r>
    </w:p>
    <w:p w:rsidR="00D412B8" w:rsidRDefault="00F768DA" w:rsidP="0083366B">
      <w:pPr>
        <w:pStyle w:val="04ParteNormativa"/>
        <w:rPr>
          <w:rFonts w:eastAsia="Batang"/>
        </w:rPr>
      </w:pPr>
      <w:r>
        <w:rPr>
          <w:rFonts w:eastAsia="Batang"/>
        </w:rPr>
        <w:t xml:space="preserve">III – </w:t>
      </w:r>
      <w:r w:rsidR="00D412B8">
        <w:rPr>
          <w:rFonts w:eastAsia="Batang"/>
        </w:rPr>
        <w:t xml:space="preserve">em 1º de janeiro de 2017, em relação ao art. </w:t>
      </w:r>
      <w:r w:rsidR="00C9322F">
        <w:rPr>
          <w:rFonts w:eastAsia="Batang"/>
        </w:rPr>
        <w:t>1º.</w:t>
      </w:r>
    </w:p>
    <w:p w:rsidR="0083366B" w:rsidRPr="00B14509" w:rsidRDefault="0083366B" w:rsidP="00CC1F81">
      <w:pPr>
        <w:pStyle w:val="Default"/>
        <w:spacing w:before="120" w:after="120" w:line="276" w:lineRule="auto"/>
        <w:ind w:firstLine="709"/>
        <w:jc w:val="both"/>
        <w:rPr>
          <w:rFonts w:eastAsia="Batang"/>
        </w:rPr>
      </w:pPr>
      <w:r w:rsidRPr="00471725">
        <w:rPr>
          <w:rFonts w:eastAsia="Batang"/>
          <w:color w:val="auto"/>
        </w:rPr>
        <w:t xml:space="preserve">Art. </w:t>
      </w:r>
      <w:r w:rsidR="00CC1F81">
        <w:rPr>
          <w:rFonts w:eastAsia="Batang"/>
          <w:color w:val="auto"/>
        </w:rPr>
        <w:t>9º</w:t>
      </w:r>
      <w:r w:rsidRPr="00471725">
        <w:rPr>
          <w:rFonts w:eastAsia="Batang"/>
          <w:color w:val="auto"/>
        </w:rPr>
        <w:t xml:space="preserve">  Revogam-se as disposições em contrário, especialmente, a partir de 1º de janeiro de 2016</w:t>
      </w:r>
      <w:r w:rsidR="00CC1F81">
        <w:rPr>
          <w:rFonts w:eastAsia="Batang"/>
          <w:color w:val="auto"/>
        </w:rPr>
        <w:t xml:space="preserve">, </w:t>
      </w:r>
      <w:r>
        <w:rPr>
          <w:rFonts w:eastAsia="Batang"/>
        </w:rPr>
        <w:t>o art. 57-B da Lei nº 11.196, de 21 de novembro de 2005</w:t>
      </w:r>
      <w:r w:rsidR="00CC1F81">
        <w:rPr>
          <w:rFonts w:eastAsia="Batang"/>
        </w:rPr>
        <w:t>.</w:t>
      </w:r>
    </w:p>
    <w:p w:rsidR="0083366B" w:rsidRDefault="0083366B" w:rsidP="0083366B">
      <w:pPr>
        <w:pStyle w:val="04ParteNormativa"/>
        <w:rPr>
          <w:rFonts w:eastAsia="Batang"/>
        </w:rPr>
      </w:pPr>
    </w:p>
    <w:p w:rsidR="0083366B" w:rsidRDefault="0083366B" w:rsidP="0083366B">
      <w:pPr>
        <w:pStyle w:val="04ParteNormativa"/>
        <w:rPr>
          <w:rFonts w:eastAsia="Batang"/>
        </w:rPr>
      </w:pPr>
      <w:r>
        <w:rPr>
          <w:rFonts w:eastAsia="Batang"/>
        </w:rPr>
        <w:t xml:space="preserve">Sala da Comissão, </w:t>
      </w:r>
      <w:r w:rsidR="00BF60A1">
        <w:rPr>
          <w:rFonts w:eastAsia="Batang"/>
        </w:rPr>
        <w:t>2 de fevereiro de 2016</w:t>
      </w:r>
    </w:p>
    <w:p w:rsidR="0083366B" w:rsidRDefault="0083366B" w:rsidP="0083366B">
      <w:pPr>
        <w:pStyle w:val="04ParteNormativa"/>
        <w:rPr>
          <w:rFonts w:eastAsia="Batang"/>
        </w:rPr>
      </w:pPr>
    </w:p>
    <w:p w:rsidR="0083366B" w:rsidRDefault="0083366B" w:rsidP="0083366B">
      <w:pPr>
        <w:pStyle w:val="04ParteNormativa"/>
        <w:rPr>
          <w:rFonts w:eastAsia="Batang"/>
        </w:rPr>
      </w:pPr>
    </w:p>
    <w:p w:rsidR="0083366B" w:rsidRPr="00B14509" w:rsidRDefault="0083366B" w:rsidP="0083366B">
      <w:pPr>
        <w:pStyle w:val="04ParteNormativa"/>
        <w:jc w:val="right"/>
        <w:rPr>
          <w:rFonts w:eastAsia="Batang"/>
          <w:b/>
        </w:rPr>
      </w:pPr>
      <w:r w:rsidRPr="00B14509">
        <w:rPr>
          <w:rFonts w:eastAsia="Batang"/>
          <w:b/>
        </w:rPr>
        <w:t>Senador Romero Jucá, Relator</w:t>
      </w:r>
    </w:p>
    <w:p w:rsidR="0083366B" w:rsidRDefault="0083366B" w:rsidP="0083366B">
      <w:pPr>
        <w:pStyle w:val="04ParteNormativa"/>
        <w:rPr>
          <w:rFonts w:eastAsia="Batang"/>
        </w:rPr>
      </w:pPr>
    </w:p>
    <w:p w:rsidR="0083366B" w:rsidRDefault="0083366B" w:rsidP="0083366B">
      <w:pPr>
        <w:pStyle w:val="04ParteNormativa"/>
        <w:rPr>
          <w:rFonts w:eastAsia="Batang"/>
        </w:rPr>
      </w:pPr>
    </w:p>
    <w:p w:rsidR="0083366B" w:rsidRPr="00797F59" w:rsidRDefault="0083366B" w:rsidP="0083366B">
      <w:pPr>
        <w:pStyle w:val="04ParteNormativa"/>
        <w:jc w:val="right"/>
        <w:rPr>
          <w:rFonts w:eastAsia="Batang"/>
          <w:b/>
        </w:rPr>
      </w:pPr>
      <w:r w:rsidRPr="00797F59">
        <w:rPr>
          <w:rFonts w:eastAsia="Batang"/>
          <w:b/>
        </w:rPr>
        <w:t>Deputado Eduardo Cury, Presidente</w:t>
      </w:r>
    </w:p>
    <w:p w:rsidR="0061705F" w:rsidRDefault="003A2B9A"/>
    <w:sectPr w:rsidR="0061705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DD1" w:rsidRDefault="007F3DD1" w:rsidP="0083366B">
      <w:r>
        <w:separator/>
      </w:r>
    </w:p>
  </w:endnote>
  <w:endnote w:type="continuationSeparator" w:id="0">
    <w:p w:rsidR="007F3DD1" w:rsidRDefault="007F3DD1" w:rsidP="00833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66B" w:rsidRDefault="0083366B" w:rsidP="0083366B">
    <w:pPr>
      <w:pStyle w:val="Rodap"/>
      <w:ind w:right="360"/>
      <w:jc w:val="both"/>
      <w:rPr>
        <w:rFonts w:ascii="ITC Stone Sans Std Medium" w:hAnsi="ITC Stone Sans Std Medium"/>
        <w:sz w:val="14"/>
        <w:szCs w:val="14"/>
      </w:rPr>
    </w:pPr>
  </w:p>
  <w:p w:rsidR="0083366B" w:rsidRDefault="0083366B" w:rsidP="0083366B">
    <w:pPr>
      <w:pStyle w:val="Rodap"/>
      <w:jc w:val="center"/>
      <w:rPr>
        <w:rFonts w:ascii="ITC Stone Sans Std Medium" w:hAnsi="ITC Stone Sans Std Medium"/>
        <w:sz w:val="14"/>
        <w:szCs w:val="1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3376E6" wp14:editId="5064FC24">
          <wp:simplePos x="0" y="0"/>
          <wp:positionH relativeFrom="column">
            <wp:posOffset>-1149350</wp:posOffset>
          </wp:positionH>
          <wp:positionV relativeFrom="paragraph">
            <wp:posOffset>19685</wp:posOffset>
          </wp:positionV>
          <wp:extent cx="7675245" cy="181610"/>
          <wp:effectExtent l="0" t="0" r="1905" b="8890"/>
          <wp:wrapNone/>
          <wp:docPr id="2" name="Imagem 9" descr="tra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trac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5245" cy="181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366B" w:rsidRPr="00196BF2" w:rsidRDefault="0083366B" w:rsidP="0083366B">
    <w:pPr>
      <w:pStyle w:val="Rodap"/>
      <w:jc w:val="center"/>
      <w:rPr>
        <w:sz w:val="14"/>
        <w:szCs w:val="14"/>
      </w:rPr>
    </w:pPr>
  </w:p>
  <w:p w:rsidR="0083366B" w:rsidRDefault="0083366B" w:rsidP="0083366B">
    <w:pPr>
      <w:pStyle w:val="Rodap"/>
      <w:jc w:val="center"/>
      <w:rPr>
        <w:sz w:val="16"/>
        <w:szCs w:val="16"/>
      </w:rPr>
    </w:pPr>
    <w:r>
      <w:rPr>
        <w:sz w:val="16"/>
        <w:szCs w:val="16"/>
      </w:rPr>
      <w:t>Congresso Nacional</w:t>
    </w:r>
    <w:r w:rsidRPr="00A80C4B">
      <w:rPr>
        <w:sz w:val="16"/>
        <w:szCs w:val="16"/>
      </w:rPr>
      <w:t xml:space="preserve"> </w:t>
    </w:r>
    <w:r>
      <w:rPr>
        <w:sz w:val="16"/>
        <w:szCs w:val="16"/>
      </w:rPr>
      <w:t>–</w:t>
    </w:r>
    <w:r w:rsidRPr="00A80C4B">
      <w:rPr>
        <w:sz w:val="16"/>
        <w:szCs w:val="16"/>
      </w:rPr>
      <w:t xml:space="preserve"> Praça dos Três Poderes </w:t>
    </w:r>
    <w:r>
      <w:rPr>
        <w:sz w:val="16"/>
        <w:szCs w:val="16"/>
      </w:rPr>
      <w:t xml:space="preserve">– </w:t>
    </w:r>
    <w:r w:rsidRPr="00A80C4B">
      <w:rPr>
        <w:sz w:val="16"/>
        <w:szCs w:val="16"/>
      </w:rPr>
      <w:t xml:space="preserve">CEP 70165-900 </w:t>
    </w:r>
    <w:r>
      <w:rPr>
        <w:sz w:val="16"/>
        <w:szCs w:val="16"/>
      </w:rPr>
      <w:t>–</w:t>
    </w:r>
    <w:r w:rsidRPr="00A80C4B">
      <w:rPr>
        <w:sz w:val="16"/>
        <w:szCs w:val="16"/>
      </w:rPr>
      <w:t xml:space="preserve"> Brasília DF </w:t>
    </w:r>
  </w:p>
  <w:p w:rsidR="0083366B" w:rsidRPr="00457D2B" w:rsidRDefault="0083366B" w:rsidP="0083366B">
    <w:pPr>
      <w:pStyle w:val="Rodap"/>
      <w:jc w:val="right"/>
      <w:rPr>
        <w:sz w:val="16"/>
        <w:szCs w:val="16"/>
      </w:rPr>
    </w:pPr>
    <w:r>
      <w:rPr>
        <w:sz w:val="16"/>
        <w:szCs w:val="16"/>
      </w:rPr>
      <w:tab/>
    </w:r>
    <w:r w:rsidRPr="00D60AD0">
      <w:rPr>
        <w:sz w:val="16"/>
        <w:szCs w:val="16"/>
      </w:rPr>
      <w:fldChar w:fldCharType="begin"/>
    </w:r>
    <w:r w:rsidRPr="00D60AD0">
      <w:rPr>
        <w:sz w:val="16"/>
        <w:szCs w:val="16"/>
      </w:rPr>
      <w:instrText xml:space="preserve"> PAGE </w:instrText>
    </w:r>
    <w:r w:rsidRPr="00D60AD0">
      <w:rPr>
        <w:sz w:val="16"/>
        <w:szCs w:val="16"/>
      </w:rPr>
      <w:fldChar w:fldCharType="separate"/>
    </w:r>
    <w:r w:rsidR="003A2B9A">
      <w:rPr>
        <w:noProof/>
        <w:sz w:val="16"/>
        <w:szCs w:val="16"/>
      </w:rPr>
      <w:t>11</w:t>
    </w:r>
    <w:r w:rsidRPr="00D60AD0">
      <w:rPr>
        <w:sz w:val="16"/>
        <w:szCs w:val="16"/>
      </w:rPr>
      <w:fldChar w:fldCharType="end"/>
    </w:r>
    <w:r w:rsidRPr="00D60AD0">
      <w:rPr>
        <w:sz w:val="16"/>
        <w:szCs w:val="16"/>
      </w:rPr>
      <w:t xml:space="preserve"> de </w:t>
    </w:r>
    <w:r w:rsidRPr="00D60AD0">
      <w:rPr>
        <w:sz w:val="16"/>
        <w:szCs w:val="16"/>
      </w:rPr>
      <w:fldChar w:fldCharType="begin"/>
    </w:r>
    <w:r w:rsidRPr="00D60AD0">
      <w:rPr>
        <w:sz w:val="16"/>
        <w:szCs w:val="16"/>
      </w:rPr>
      <w:instrText xml:space="preserve"> NUMPAGES </w:instrText>
    </w:r>
    <w:r w:rsidRPr="00D60AD0">
      <w:rPr>
        <w:sz w:val="16"/>
        <w:szCs w:val="16"/>
      </w:rPr>
      <w:fldChar w:fldCharType="separate"/>
    </w:r>
    <w:r w:rsidR="003A2B9A">
      <w:rPr>
        <w:noProof/>
        <w:sz w:val="16"/>
        <w:szCs w:val="16"/>
      </w:rPr>
      <w:t>11</w:t>
    </w:r>
    <w:r w:rsidRPr="00D60AD0">
      <w:rPr>
        <w:sz w:val="16"/>
        <w:szCs w:val="16"/>
      </w:rPr>
      <w:fldChar w:fldCharType="end"/>
    </w:r>
  </w:p>
  <w:p w:rsidR="0083366B" w:rsidRDefault="008336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DD1" w:rsidRDefault="007F3DD1" w:rsidP="0083366B">
      <w:r>
        <w:separator/>
      </w:r>
    </w:p>
  </w:footnote>
  <w:footnote w:type="continuationSeparator" w:id="0">
    <w:p w:rsidR="007F3DD1" w:rsidRDefault="007F3DD1" w:rsidP="0083366B">
      <w:r>
        <w:continuationSeparator/>
      </w:r>
    </w:p>
  </w:footnote>
  <w:footnote w:id="1">
    <w:p w:rsidR="00CC1F81" w:rsidRPr="008816DA" w:rsidRDefault="00CC1F81" w:rsidP="00CC1F81">
      <w:pPr>
        <w:pStyle w:val="Textodenotaderodap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r>
        <w:rPr>
          <w:lang w:val="pt-BR"/>
        </w:rPr>
        <w:t xml:space="preserve">Ver: </w:t>
      </w:r>
      <w:hyperlink r:id="rId1" w:history="1">
        <w:r w:rsidRPr="00932918">
          <w:rPr>
            <w:rStyle w:val="Hyperlink"/>
            <w:lang w:val="pt-BR"/>
          </w:rPr>
          <w:t>http://www25.senado.leg.br/web/atividade/materias/-/materia/123433</w:t>
        </w:r>
      </w:hyperlink>
      <w:r>
        <w:rPr>
          <w:lang w:val="pt-BR"/>
        </w:rPr>
        <w:t>. Acesso em 8/12/2015, às 17:11.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66B" w:rsidRDefault="0083366B" w:rsidP="0083366B">
    <w:pPr>
      <w:pStyle w:val="Cabealho"/>
      <w:spacing w:after="120"/>
      <w:jc w:val="center"/>
      <w:rPr>
        <w:noProof/>
      </w:rPr>
    </w:pPr>
    <w:r>
      <w:rPr>
        <w:noProof/>
      </w:rPr>
      <w:drawing>
        <wp:inline distT="0" distB="0" distL="0" distR="0" wp14:anchorId="5BE3733A" wp14:editId="3FC860E5">
          <wp:extent cx="586740" cy="673100"/>
          <wp:effectExtent l="0" t="0" r="381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366B" w:rsidRDefault="0083366B" w:rsidP="0083366B">
    <w:pPr>
      <w:pStyle w:val="Cabealho"/>
      <w:jc w:val="center"/>
      <w:rPr>
        <w:b/>
        <w:noProof/>
        <w:sz w:val="24"/>
      </w:rPr>
    </w:pPr>
    <w:r w:rsidRPr="004B20DE">
      <w:rPr>
        <w:b/>
        <w:noProof/>
        <w:sz w:val="24"/>
      </w:rPr>
      <w:t xml:space="preserve">Comissão </w:t>
    </w:r>
    <w:r>
      <w:rPr>
        <w:b/>
        <w:noProof/>
        <w:sz w:val="24"/>
      </w:rPr>
      <w:t>Mista</w:t>
    </w:r>
  </w:p>
  <w:p w:rsidR="0083366B" w:rsidRPr="0087730E" w:rsidRDefault="0083366B" w:rsidP="0083366B">
    <w:pPr>
      <w:pStyle w:val="Cabealho"/>
      <w:jc w:val="center"/>
      <w:rPr>
        <w:b/>
        <w:noProof/>
        <w:sz w:val="24"/>
      </w:rPr>
    </w:pPr>
    <w:r>
      <w:rPr>
        <w:b/>
        <w:noProof/>
        <w:sz w:val="24"/>
      </w:rPr>
      <w:t>destinada a emitir parecer à MPV 694/15</w:t>
    </w:r>
  </w:p>
  <w:p w:rsidR="0083366B" w:rsidRPr="004B20DE" w:rsidRDefault="0083366B" w:rsidP="0083366B">
    <w:pPr>
      <w:pStyle w:val="Cabealho"/>
      <w:spacing w:after="120"/>
      <w:jc w:val="center"/>
      <w:rPr>
        <w:b/>
        <w:sz w:val="24"/>
      </w:rPr>
    </w:pPr>
  </w:p>
  <w:p w:rsidR="0083366B" w:rsidRDefault="0083366B" w:rsidP="0083366B">
    <w:pPr>
      <w:pStyle w:val="Cabealho"/>
    </w:pPr>
  </w:p>
  <w:p w:rsidR="0083366B" w:rsidRDefault="008336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66B"/>
    <w:rsid w:val="000C662D"/>
    <w:rsid w:val="00116ADF"/>
    <w:rsid w:val="001F37DE"/>
    <w:rsid w:val="00295A7B"/>
    <w:rsid w:val="003A2B9A"/>
    <w:rsid w:val="004F43DA"/>
    <w:rsid w:val="0060556F"/>
    <w:rsid w:val="007F3DD1"/>
    <w:rsid w:val="0083366B"/>
    <w:rsid w:val="008D4E92"/>
    <w:rsid w:val="009D5BC2"/>
    <w:rsid w:val="00A921A3"/>
    <w:rsid w:val="00B16073"/>
    <w:rsid w:val="00BF60A1"/>
    <w:rsid w:val="00C9322F"/>
    <w:rsid w:val="00CC1F81"/>
    <w:rsid w:val="00D412B8"/>
    <w:rsid w:val="00F7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FF84B-1D18-466D-BE7C-69178676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6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83366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04ParteNormativa">
    <w:name w:val="04 Parte Normativa"/>
    <w:basedOn w:val="Normal"/>
    <w:rsid w:val="0083366B"/>
    <w:pPr>
      <w:spacing w:after="120"/>
      <w:ind w:firstLine="1418"/>
      <w:jc w:val="both"/>
    </w:pPr>
    <w:rPr>
      <w:rFonts w:eastAsia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336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6B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336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6B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21A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21A3"/>
    <w:rPr>
      <w:rFonts w:ascii="Segoe UI" w:eastAsia="Calibri" w:hAnsi="Segoe UI" w:cs="Segoe UI"/>
      <w:sz w:val="18"/>
      <w:szCs w:val="18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C1F81"/>
    <w:rPr>
      <w:lang w:val="x-none" w:eastAsia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C1F81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Refdenotaderodap">
    <w:name w:val="footnote reference"/>
    <w:uiPriority w:val="99"/>
    <w:semiHidden/>
    <w:unhideWhenUsed/>
    <w:rsid w:val="00CC1F81"/>
    <w:rPr>
      <w:vertAlign w:val="superscript"/>
    </w:rPr>
  </w:style>
  <w:style w:type="character" w:styleId="Hyperlink">
    <w:name w:val="Hyperlink"/>
    <w:uiPriority w:val="99"/>
    <w:unhideWhenUsed/>
    <w:rsid w:val="00CC1F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1/Decreto/D7660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1/Decreto/D7660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25.senado.leg.br/web/atividade/materias/-/materia/12343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4FF84-1E13-426E-927F-F0202C74F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3570</Words>
  <Characters>19280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22805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Veiga Barros e Silva</dc:creator>
  <cp:keywords/>
  <dc:description/>
  <cp:lastModifiedBy>Clarissa Kiwa Scarton Hayashi</cp:lastModifiedBy>
  <cp:revision>2</cp:revision>
  <cp:lastPrinted>2016-02-02T11:47:00Z</cp:lastPrinted>
  <dcterms:created xsi:type="dcterms:W3CDTF">2016-02-02T14:16:00Z</dcterms:created>
  <dcterms:modified xsi:type="dcterms:W3CDTF">2016-02-02T14:16:00Z</dcterms:modified>
</cp:coreProperties>
</file>