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1AD" w:rsidRDefault="003811AD" w:rsidP="003811AD">
      <w:pPr>
        <w:pStyle w:val="02-TtuloPrincipal-CLG"/>
        <w:spacing w:after="120"/>
      </w:pPr>
      <w:r>
        <w:t>PROJETO DE LEI DE CONVERSÃO Nº</w:t>
      </w:r>
      <w:r w:rsidR="002F1CC8">
        <w:t xml:space="preserve"> </w:t>
      </w:r>
      <w:r w:rsidR="00D9461F">
        <w:t>3</w:t>
      </w:r>
      <w:r>
        <w:t>, DE 201</w:t>
      </w:r>
      <w:r w:rsidR="007A5C7A">
        <w:t>6</w:t>
      </w:r>
    </w:p>
    <w:p w:rsidR="003811AD" w:rsidRPr="00FA1FD2" w:rsidRDefault="003811AD" w:rsidP="003811AD">
      <w:pPr>
        <w:pStyle w:val="02-TtuloPrincipal-CLG"/>
        <w:rPr>
          <w:sz w:val="28"/>
        </w:rPr>
      </w:pPr>
      <w:r>
        <w:rPr>
          <w:sz w:val="28"/>
        </w:rPr>
        <w:t>(À</w:t>
      </w:r>
      <w:r w:rsidRPr="00FA1FD2">
        <w:rPr>
          <w:sz w:val="28"/>
        </w:rPr>
        <w:t xml:space="preserve"> MEDIDA PROVISÓRIA Nº </w:t>
      </w:r>
      <w:r w:rsidR="00987BB2">
        <w:rPr>
          <w:sz w:val="28"/>
        </w:rPr>
        <w:t>69</w:t>
      </w:r>
      <w:r w:rsidR="00D9461F">
        <w:rPr>
          <w:sz w:val="28"/>
        </w:rPr>
        <w:t>8</w:t>
      </w:r>
      <w:r w:rsidRPr="00FA1FD2">
        <w:rPr>
          <w:sz w:val="28"/>
        </w:rPr>
        <w:t>, DE 201</w:t>
      </w:r>
      <w:r>
        <w:rPr>
          <w:sz w:val="28"/>
        </w:rPr>
        <w:t>5</w:t>
      </w:r>
      <w:r w:rsidRPr="00FA1FD2">
        <w:rPr>
          <w:sz w:val="28"/>
        </w:rPr>
        <w:t>)</w:t>
      </w:r>
    </w:p>
    <w:p w:rsidR="00275EA5" w:rsidRPr="00275EA5" w:rsidRDefault="00275EA5" w:rsidP="00275EA5">
      <w:pPr>
        <w:pStyle w:val="Ementa"/>
        <w:spacing w:before="0" w:after="1080" w:line="280" w:lineRule="exact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Altera a Lei nº 11.977, de 7 de julho de 2009, para dispor sobre operações de financiamento habitacional com desconto ao beneficiário concedido pelo Fundo de Garantia do Tempo de Serviço - FGTS para aquisição de imóveis no âmbito do Programa Minha Casa Minha Vida construídos com recursos do Fundo de Arrendamento Residencial - FAR.</w:t>
      </w:r>
    </w:p>
    <w:p w:rsidR="00275EA5" w:rsidRPr="00275EA5" w:rsidRDefault="00275EA5" w:rsidP="00275EA5">
      <w:pPr>
        <w:pStyle w:val="Corpo"/>
        <w:spacing w:after="600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O Congresso Nacional decreta: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Art. 1º A Lei nº 11.977, de 7 de julho de 2009, passa a vigorar com as seguintes alterações: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“Art. 2º ......................................................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....................................................................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§ 1º Dos recursos destinados pela União à habitação de interesse social serão obrigatoriamente aplicados o montante mínimo de 10 % (dez por cento) em projetos de edificação de habitações de interesse social que se situem em municípios com menos de 50.000,00 (cinquenta mil) habitantes, nos termos do regulamento.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§ 2º Uma vez não verificada a utilização dos recursos compreendidos no montante mínimo previsto no § 1º, fica autorizada a transferência da parcela não executada ao final do 1º semestre de cada exercício, para ser utilizada em outras faixas de financiamentos compreendidas no âmbito do Fundo de Arrendamento Residencial (FAR).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lastRenderedPageBreak/>
        <w:t>§ 3º A aplicação dos recursos de que trata o § 1º acima se fará sob a forma de oferta pública, prevista no inciso III deste artigo, salvo nos casos em que for admitida a execução do empreendimento pela modalidade FAR – Faixa 1.” (NR)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“Art. 3º 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I - ................................................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II - .................................................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III - prioridade de atendimento às famílias residentes em áreas de risco, insalubres, que tenham sido desabrigadas ou que perderam a moradia em razão de enchente, alagamento, transbordamento ou em decorrência de qualquer desastre natural do gênero;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.......................................................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 xml:space="preserve">§ 7º Os requisitos dispostos no </w:t>
      </w:r>
      <w:r w:rsidRPr="00275EA5">
        <w:rPr>
          <w:rFonts w:ascii="Times New Roman" w:hAnsi="Times New Roman"/>
          <w:i/>
          <w:color w:val="auto"/>
          <w:sz w:val="28"/>
          <w:szCs w:val="28"/>
        </w:rPr>
        <w:t>caput</w:t>
      </w:r>
      <w:r w:rsidRPr="00275EA5">
        <w:rPr>
          <w:rFonts w:ascii="Times New Roman" w:hAnsi="Times New Roman"/>
          <w:color w:val="auto"/>
          <w:sz w:val="28"/>
          <w:szCs w:val="28"/>
        </w:rPr>
        <w:t xml:space="preserve"> deste artigo, bem como aqueles definidos em regulamentos do Poder Executivo, relativos à situação econômica ou financeira dos beneficiários do PMCMV deverão ainda: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I – observar a exigência da qualificação pessoal completa do beneficiário para constar do respectivo contrato, incluindo seu número de inscrição no Cadastro de Pessoa Física (CPF), mantido junto à Secretaria da Receita Federal do Brasil;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 xml:space="preserve">II - ter sua veracidade verificada por meio do cruzamento de dados fiscais e bancários do beneficiário, assegurado o sigilo constitucional dos dados informados. 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>§ 8º O agente financeiro responsável pelo financiamento</w:t>
      </w:r>
      <w:r w:rsidRPr="00275EA5">
        <w:rPr>
          <w:rFonts w:ascii="Times New Roman" w:hAnsi="Times New Roman"/>
          <w:sz w:val="28"/>
          <w:szCs w:val="28"/>
        </w:rPr>
        <w:t xml:space="preserve"> </w:t>
      </w:r>
      <w:r w:rsidRPr="00275EA5">
        <w:rPr>
          <w:rFonts w:ascii="Times New Roman" w:hAnsi="Times New Roman"/>
          <w:color w:val="auto"/>
          <w:sz w:val="28"/>
          <w:szCs w:val="28"/>
        </w:rPr>
        <w:t>responderá pelo cumprimento do disposto no § 7º deste artigo.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color w:val="auto"/>
          <w:sz w:val="28"/>
          <w:szCs w:val="28"/>
        </w:rPr>
      </w:pPr>
      <w:r w:rsidRPr="00275EA5">
        <w:rPr>
          <w:rFonts w:ascii="Times New Roman" w:hAnsi="Times New Roman"/>
          <w:color w:val="auto"/>
          <w:sz w:val="28"/>
          <w:szCs w:val="28"/>
        </w:rPr>
        <w:t xml:space="preserve">§ 9º Em atendimento aos ditames da Lei nº 12.527, de 18 de novembro de 2011, até o final do último trimestre de cada ano, o Poder Executivo fará publicar, no Diário Oficial da União, relação </w:t>
      </w:r>
      <w:r w:rsidRPr="00275EA5">
        <w:rPr>
          <w:rFonts w:ascii="Times New Roman" w:hAnsi="Times New Roman"/>
          <w:color w:val="auto"/>
          <w:sz w:val="28"/>
          <w:szCs w:val="28"/>
        </w:rPr>
        <w:lastRenderedPageBreak/>
        <w:t>contendo os nomes dos beneficiários do</w:t>
      </w:r>
      <w:r w:rsidRPr="00275EA5">
        <w:rPr>
          <w:rFonts w:ascii="Times New Roman" w:hAnsi="Times New Roman"/>
          <w:sz w:val="28"/>
          <w:szCs w:val="28"/>
        </w:rPr>
        <w:t>s contratos de aquisição de imóveis firmados no âmbito do PMCMV e compreendidos no exercício fiscal anterior.</w:t>
      </w:r>
      <w:r w:rsidRPr="00275EA5">
        <w:rPr>
          <w:rFonts w:ascii="Times New Roman" w:hAnsi="Times New Roman"/>
          <w:color w:val="auto"/>
          <w:sz w:val="28"/>
          <w:szCs w:val="28"/>
        </w:rPr>
        <w:t>” (NR).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 xml:space="preserve"> “Art. 6º-A.  ...................................................................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 xml:space="preserve">...................................................................................... 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§ 12. O FAR poderá prestar garantia à instituição financeira em favor do beneficiário nos casos de operações de financiamento habitacional ao beneficiário com desconto concedido pelo FGTS para aquisição de imóveis construídos com recursos do FAR.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§ 13. No caso de execução da garantia de que trata o § 12 acima, ficará o FAR sub-rogado nos direitos do credor.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§ 14.  Para assegurar a expectativa trimestral de venda de imóveis estabelecida pelo FAR, as instituições financeiras executoras do PMCMV deverão repassar ao FAR o valor equivalente aos descontos do FGTS correspondente à referida expectativa trimestral.</w:t>
      </w:r>
    </w:p>
    <w:p w:rsidR="00275EA5" w:rsidRPr="00275EA5" w:rsidRDefault="00275EA5" w:rsidP="00275EA5">
      <w:pPr>
        <w:pStyle w:val="CorpoPadro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§ 15. Caso os recursos de que trata o § 14 não sejam integralmente utilizados, o FAR devolverá o excedente às instituições financeiras ao final de cada trimestre, corrigido pela taxa Selic apurada no período.” (NR)</w:t>
      </w:r>
    </w:p>
    <w:p w:rsidR="00275EA5" w:rsidRPr="00275EA5" w:rsidRDefault="00275EA5" w:rsidP="00275EA5">
      <w:pPr>
        <w:pStyle w:val="CorpoPadro"/>
        <w:spacing w:after="0"/>
        <w:rPr>
          <w:rFonts w:ascii="Times New Roman" w:hAnsi="Times New Roman"/>
          <w:sz w:val="28"/>
          <w:szCs w:val="28"/>
        </w:rPr>
      </w:pPr>
      <w:r w:rsidRPr="00275EA5">
        <w:rPr>
          <w:rFonts w:ascii="Times New Roman" w:hAnsi="Times New Roman"/>
          <w:sz w:val="28"/>
          <w:szCs w:val="28"/>
        </w:rPr>
        <w:t>Art. 2º Esta lei entra em vigor na data de sua publicação oficial.</w:t>
      </w:r>
    </w:p>
    <w:p w:rsidR="00A85ECB" w:rsidRPr="00275EA5" w:rsidRDefault="00705286" w:rsidP="00275EA5">
      <w:pPr>
        <w:pStyle w:val="10-Local-CLG"/>
        <w:spacing w:before="600"/>
        <w:jc w:val="right"/>
        <w:rPr>
          <w:snapToGrid w:val="0"/>
          <w:color w:val="000000"/>
          <w:szCs w:val="28"/>
        </w:rPr>
      </w:pPr>
      <w:r w:rsidRPr="00275EA5">
        <w:rPr>
          <w:snapToGrid w:val="0"/>
          <w:color w:val="000000"/>
          <w:szCs w:val="28"/>
        </w:rPr>
        <w:t>S</w:t>
      </w:r>
      <w:r w:rsidR="00C218D0" w:rsidRPr="00275EA5">
        <w:rPr>
          <w:snapToGrid w:val="0"/>
          <w:color w:val="000000"/>
          <w:szCs w:val="28"/>
        </w:rPr>
        <w:t>ala da Comissão,</w:t>
      </w:r>
      <w:r w:rsidR="002F1CC8" w:rsidRPr="00275EA5">
        <w:rPr>
          <w:snapToGrid w:val="0"/>
          <w:color w:val="000000"/>
          <w:szCs w:val="28"/>
        </w:rPr>
        <w:t xml:space="preserve"> </w:t>
      </w:r>
      <w:r w:rsidR="00D9461F" w:rsidRPr="00275EA5">
        <w:rPr>
          <w:snapToGrid w:val="0"/>
          <w:color w:val="000000"/>
          <w:szCs w:val="28"/>
        </w:rPr>
        <w:t>09</w:t>
      </w:r>
      <w:r w:rsidR="002F1CC8" w:rsidRPr="00275EA5">
        <w:rPr>
          <w:snapToGrid w:val="0"/>
          <w:color w:val="000000"/>
          <w:szCs w:val="28"/>
        </w:rPr>
        <w:t xml:space="preserve"> de </w:t>
      </w:r>
      <w:r w:rsidR="00D9461F" w:rsidRPr="00275EA5">
        <w:rPr>
          <w:snapToGrid w:val="0"/>
          <w:color w:val="000000"/>
          <w:szCs w:val="28"/>
        </w:rPr>
        <w:t>março</w:t>
      </w:r>
      <w:r w:rsidR="002F1CC8" w:rsidRPr="00275EA5">
        <w:rPr>
          <w:snapToGrid w:val="0"/>
          <w:color w:val="000000"/>
          <w:szCs w:val="28"/>
        </w:rPr>
        <w:t xml:space="preserve"> de 201</w:t>
      </w:r>
      <w:r w:rsidR="005D6871" w:rsidRPr="00275EA5">
        <w:rPr>
          <w:snapToGrid w:val="0"/>
          <w:color w:val="000000"/>
          <w:szCs w:val="28"/>
        </w:rPr>
        <w:t>6</w:t>
      </w:r>
    </w:p>
    <w:p w:rsidR="00275EA5" w:rsidRDefault="00275EA5" w:rsidP="00705286">
      <w:pPr>
        <w:pStyle w:val="11-Assinaturas-CLG"/>
        <w:spacing w:after="0"/>
        <w:ind w:left="0"/>
        <w:jc w:val="center"/>
        <w:rPr>
          <w:snapToGrid w:val="0"/>
          <w:color w:val="000000"/>
          <w:szCs w:val="28"/>
        </w:rPr>
      </w:pPr>
    </w:p>
    <w:p w:rsidR="00275EA5" w:rsidRDefault="00275EA5" w:rsidP="00705286">
      <w:pPr>
        <w:pStyle w:val="11-Assinaturas-CLG"/>
        <w:spacing w:after="0"/>
        <w:ind w:left="0"/>
        <w:jc w:val="center"/>
        <w:rPr>
          <w:snapToGrid w:val="0"/>
          <w:color w:val="000000"/>
          <w:szCs w:val="28"/>
        </w:rPr>
      </w:pPr>
    </w:p>
    <w:p w:rsidR="00275EA5" w:rsidRDefault="00275EA5" w:rsidP="00705286">
      <w:pPr>
        <w:pStyle w:val="11-Assinaturas-CLG"/>
        <w:spacing w:after="0"/>
        <w:ind w:left="0"/>
        <w:jc w:val="center"/>
        <w:rPr>
          <w:snapToGrid w:val="0"/>
          <w:color w:val="000000"/>
          <w:szCs w:val="28"/>
        </w:rPr>
      </w:pPr>
    </w:p>
    <w:p w:rsidR="002F1CC8" w:rsidRPr="00275EA5" w:rsidRDefault="005D6871" w:rsidP="00705286">
      <w:pPr>
        <w:pStyle w:val="11-Assinaturas-CLG"/>
        <w:spacing w:after="0"/>
        <w:ind w:left="0"/>
        <w:jc w:val="center"/>
        <w:rPr>
          <w:snapToGrid w:val="0"/>
          <w:color w:val="000000"/>
          <w:szCs w:val="28"/>
        </w:rPr>
      </w:pPr>
      <w:bookmarkStart w:id="0" w:name="_GoBack"/>
      <w:bookmarkEnd w:id="0"/>
      <w:r w:rsidRPr="00275EA5">
        <w:rPr>
          <w:snapToGrid w:val="0"/>
          <w:color w:val="000000"/>
          <w:szCs w:val="28"/>
        </w:rPr>
        <w:t>Senador BENEDITO DE LIRA</w:t>
      </w:r>
    </w:p>
    <w:p w:rsidR="00A85ECB" w:rsidRPr="00275EA5" w:rsidRDefault="00A85ECB" w:rsidP="00F66C77">
      <w:pPr>
        <w:pStyle w:val="11-Assinaturas-CLG"/>
        <w:spacing w:after="0"/>
        <w:ind w:left="0"/>
        <w:jc w:val="center"/>
        <w:rPr>
          <w:snapToGrid w:val="0"/>
          <w:color w:val="000000"/>
          <w:szCs w:val="28"/>
        </w:rPr>
      </w:pPr>
      <w:r w:rsidRPr="00275EA5">
        <w:rPr>
          <w:snapToGrid w:val="0"/>
          <w:color w:val="000000"/>
          <w:szCs w:val="28"/>
        </w:rPr>
        <w:t>Presidente</w:t>
      </w:r>
      <w:r w:rsidR="002F1CC8" w:rsidRPr="00275EA5">
        <w:rPr>
          <w:snapToGrid w:val="0"/>
          <w:color w:val="000000"/>
          <w:szCs w:val="28"/>
        </w:rPr>
        <w:t xml:space="preserve"> da Comissão</w:t>
      </w:r>
    </w:p>
    <w:p w:rsidR="009F03FE" w:rsidRPr="007A5C7A" w:rsidRDefault="009F03FE" w:rsidP="00A85ECB">
      <w:pPr>
        <w:pStyle w:val="11-Assinaturas-CLG"/>
        <w:rPr>
          <w:sz w:val="24"/>
          <w:szCs w:val="24"/>
        </w:rPr>
      </w:pPr>
    </w:p>
    <w:sectPr w:rsidR="009F03FE" w:rsidRPr="007A5C7A" w:rsidSect="00275EA5">
      <w:headerReference w:type="even" r:id="rId8"/>
      <w:headerReference w:type="default" r:id="rId9"/>
      <w:footerReference w:type="first" r:id="rId10"/>
      <w:pgSz w:w="11906" w:h="16838"/>
      <w:pgMar w:top="2127" w:right="1701" w:bottom="212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5AD" w:rsidRDefault="00F975AD" w:rsidP="00A85ECB">
      <w:r>
        <w:separator/>
      </w:r>
    </w:p>
  </w:endnote>
  <w:endnote w:type="continuationSeparator" w:id="0">
    <w:p w:rsidR="00F975AD" w:rsidRDefault="00F975AD" w:rsidP="00A8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04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5AD" w:rsidRDefault="00F975AD" w:rsidP="00A85ECB">
      <w:r>
        <w:separator/>
      </w:r>
    </w:p>
  </w:footnote>
  <w:footnote w:type="continuationSeparator" w:id="0">
    <w:p w:rsidR="00F975AD" w:rsidRDefault="00F975AD" w:rsidP="00A85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04" w:rsidRDefault="00B91DB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91A04" w:rsidRDefault="00791A04">
    <w:pPr>
      <w:pStyle w:val="Cabealho"/>
      <w:ind w:right="360"/>
    </w:pPr>
  </w:p>
  <w:p w:rsidR="00791A04" w:rsidRDefault="00791A0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04" w:rsidRDefault="00B91DB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75EA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91A04" w:rsidRDefault="00791A04">
    <w:pPr>
      <w:pStyle w:val="Cabealho"/>
      <w:ind w:right="360"/>
    </w:pPr>
  </w:p>
  <w:p w:rsidR="00791A04" w:rsidRDefault="00791A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54DD2"/>
    <w:multiLevelType w:val="hybridMultilevel"/>
    <w:tmpl w:val="74C2CE6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FF121DA"/>
    <w:multiLevelType w:val="hybridMultilevel"/>
    <w:tmpl w:val="906883F6"/>
    <w:lvl w:ilvl="0" w:tplc="2F067A7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5ECB"/>
    <w:rsid w:val="00003CD9"/>
    <w:rsid w:val="00005D10"/>
    <w:rsid w:val="00012E73"/>
    <w:rsid w:val="00022BBC"/>
    <w:rsid w:val="0003485E"/>
    <w:rsid w:val="00042ED4"/>
    <w:rsid w:val="00052337"/>
    <w:rsid w:val="000547FF"/>
    <w:rsid w:val="00055CBB"/>
    <w:rsid w:val="0007300D"/>
    <w:rsid w:val="000837A8"/>
    <w:rsid w:val="0008624F"/>
    <w:rsid w:val="00090D8A"/>
    <w:rsid w:val="000B30CC"/>
    <w:rsid w:val="000B4C53"/>
    <w:rsid w:val="000C3FD0"/>
    <w:rsid w:val="000C73B5"/>
    <w:rsid w:val="000D74C4"/>
    <w:rsid w:val="000E1133"/>
    <w:rsid w:val="000E79F2"/>
    <w:rsid w:val="000F182D"/>
    <w:rsid w:val="001020CD"/>
    <w:rsid w:val="00112A91"/>
    <w:rsid w:val="00122A93"/>
    <w:rsid w:val="001234EB"/>
    <w:rsid w:val="00123527"/>
    <w:rsid w:val="00124357"/>
    <w:rsid w:val="001326E3"/>
    <w:rsid w:val="0014058C"/>
    <w:rsid w:val="0014124B"/>
    <w:rsid w:val="00145FF5"/>
    <w:rsid w:val="0016313E"/>
    <w:rsid w:val="00165387"/>
    <w:rsid w:val="00170527"/>
    <w:rsid w:val="001861DB"/>
    <w:rsid w:val="00192A8C"/>
    <w:rsid w:val="001936F8"/>
    <w:rsid w:val="00193AD8"/>
    <w:rsid w:val="0019646D"/>
    <w:rsid w:val="001B2B52"/>
    <w:rsid w:val="001C4ED2"/>
    <w:rsid w:val="001C6938"/>
    <w:rsid w:val="001C76CF"/>
    <w:rsid w:val="001E3C2A"/>
    <w:rsid w:val="001F6FC9"/>
    <w:rsid w:val="001F7438"/>
    <w:rsid w:val="00201AB8"/>
    <w:rsid w:val="002029DB"/>
    <w:rsid w:val="002053AE"/>
    <w:rsid w:val="002220C0"/>
    <w:rsid w:val="002224E0"/>
    <w:rsid w:val="00236E10"/>
    <w:rsid w:val="00244F19"/>
    <w:rsid w:val="002467B3"/>
    <w:rsid w:val="00257A75"/>
    <w:rsid w:val="00261BAA"/>
    <w:rsid w:val="00272B20"/>
    <w:rsid w:val="00275EA5"/>
    <w:rsid w:val="00277899"/>
    <w:rsid w:val="00277F83"/>
    <w:rsid w:val="00290AE5"/>
    <w:rsid w:val="002B7D00"/>
    <w:rsid w:val="002C471E"/>
    <w:rsid w:val="002C70C1"/>
    <w:rsid w:val="002F08FB"/>
    <w:rsid w:val="002F1CC8"/>
    <w:rsid w:val="003025A7"/>
    <w:rsid w:val="003052F7"/>
    <w:rsid w:val="00305460"/>
    <w:rsid w:val="0031779C"/>
    <w:rsid w:val="00332BD0"/>
    <w:rsid w:val="00336212"/>
    <w:rsid w:val="0036317C"/>
    <w:rsid w:val="0036600B"/>
    <w:rsid w:val="003811AD"/>
    <w:rsid w:val="003822DC"/>
    <w:rsid w:val="00385A9D"/>
    <w:rsid w:val="003A61B2"/>
    <w:rsid w:val="003A67E5"/>
    <w:rsid w:val="003B46E1"/>
    <w:rsid w:val="003B6BA9"/>
    <w:rsid w:val="003B6DCD"/>
    <w:rsid w:val="003B766A"/>
    <w:rsid w:val="003C08A4"/>
    <w:rsid w:val="003C5949"/>
    <w:rsid w:val="003D0242"/>
    <w:rsid w:val="003D17CC"/>
    <w:rsid w:val="003D41F4"/>
    <w:rsid w:val="003D5EE2"/>
    <w:rsid w:val="003F695A"/>
    <w:rsid w:val="003F7A8A"/>
    <w:rsid w:val="00400D4E"/>
    <w:rsid w:val="004203F5"/>
    <w:rsid w:val="004245A1"/>
    <w:rsid w:val="004254A4"/>
    <w:rsid w:val="0043061B"/>
    <w:rsid w:val="00440D91"/>
    <w:rsid w:val="004446C4"/>
    <w:rsid w:val="00471D1A"/>
    <w:rsid w:val="0047426F"/>
    <w:rsid w:val="0048265E"/>
    <w:rsid w:val="004833F9"/>
    <w:rsid w:val="0048713A"/>
    <w:rsid w:val="00497242"/>
    <w:rsid w:val="004977CD"/>
    <w:rsid w:val="004A5698"/>
    <w:rsid w:val="004B0544"/>
    <w:rsid w:val="004C5A86"/>
    <w:rsid w:val="004D4188"/>
    <w:rsid w:val="004D593A"/>
    <w:rsid w:val="004F5A26"/>
    <w:rsid w:val="0050661C"/>
    <w:rsid w:val="005079CB"/>
    <w:rsid w:val="0051265D"/>
    <w:rsid w:val="00531BF4"/>
    <w:rsid w:val="005427DE"/>
    <w:rsid w:val="00545CDA"/>
    <w:rsid w:val="00546F28"/>
    <w:rsid w:val="005518E7"/>
    <w:rsid w:val="0055336D"/>
    <w:rsid w:val="00553F16"/>
    <w:rsid w:val="00564B4E"/>
    <w:rsid w:val="00567F86"/>
    <w:rsid w:val="00574B39"/>
    <w:rsid w:val="0059291D"/>
    <w:rsid w:val="005A5A48"/>
    <w:rsid w:val="005C0FDC"/>
    <w:rsid w:val="005C69F2"/>
    <w:rsid w:val="005C71FF"/>
    <w:rsid w:val="005D1DA5"/>
    <w:rsid w:val="005D32DA"/>
    <w:rsid w:val="005D4868"/>
    <w:rsid w:val="005D6871"/>
    <w:rsid w:val="005F30A1"/>
    <w:rsid w:val="005F48B3"/>
    <w:rsid w:val="005F5BF4"/>
    <w:rsid w:val="005F66EF"/>
    <w:rsid w:val="00610F16"/>
    <w:rsid w:val="00631C95"/>
    <w:rsid w:val="00635C53"/>
    <w:rsid w:val="00644852"/>
    <w:rsid w:val="0065087F"/>
    <w:rsid w:val="00660125"/>
    <w:rsid w:val="00666B40"/>
    <w:rsid w:val="00676A4C"/>
    <w:rsid w:val="006A7278"/>
    <w:rsid w:val="006B2AD4"/>
    <w:rsid w:val="006C0C7A"/>
    <w:rsid w:val="006D41D4"/>
    <w:rsid w:val="006F44EB"/>
    <w:rsid w:val="006F6D24"/>
    <w:rsid w:val="00705286"/>
    <w:rsid w:val="007158A7"/>
    <w:rsid w:val="00717FA9"/>
    <w:rsid w:val="00743060"/>
    <w:rsid w:val="007433AF"/>
    <w:rsid w:val="00764ACA"/>
    <w:rsid w:val="007811D8"/>
    <w:rsid w:val="00782352"/>
    <w:rsid w:val="0078305E"/>
    <w:rsid w:val="00786E12"/>
    <w:rsid w:val="00791A04"/>
    <w:rsid w:val="00794A46"/>
    <w:rsid w:val="00796409"/>
    <w:rsid w:val="0079671E"/>
    <w:rsid w:val="007A1525"/>
    <w:rsid w:val="007A5C7A"/>
    <w:rsid w:val="007C13B9"/>
    <w:rsid w:val="007D2C8F"/>
    <w:rsid w:val="007E766F"/>
    <w:rsid w:val="007F66A2"/>
    <w:rsid w:val="007F6C25"/>
    <w:rsid w:val="00800E94"/>
    <w:rsid w:val="00806347"/>
    <w:rsid w:val="00824FEB"/>
    <w:rsid w:val="0083136A"/>
    <w:rsid w:val="00834616"/>
    <w:rsid w:val="008368B2"/>
    <w:rsid w:val="008433C4"/>
    <w:rsid w:val="00843749"/>
    <w:rsid w:val="00852172"/>
    <w:rsid w:val="00857C00"/>
    <w:rsid w:val="00861BB3"/>
    <w:rsid w:val="0087014E"/>
    <w:rsid w:val="008707F5"/>
    <w:rsid w:val="00876F56"/>
    <w:rsid w:val="00882E3A"/>
    <w:rsid w:val="0088359E"/>
    <w:rsid w:val="008A1DAF"/>
    <w:rsid w:val="008D22A3"/>
    <w:rsid w:val="008D2661"/>
    <w:rsid w:val="008E2F5A"/>
    <w:rsid w:val="009076D5"/>
    <w:rsid w:val="00917B78"/>
    <w:rsid w:val="009205FD"/>
    <w:rsid w:val="009317B4"/>
    <w:rsid w:val="00936F98"/>
    <w:rsid w:val="00946EB8"/>
    <w:rsid w:val="00957CF0"/>
    <w:rsid w:val="00961660"/>
    <w:rsid w:val="009636A7"/>
    <w:rsid w:val="00983DC4"/>
    <w:rsid w:val="009875D1"/>
    <w:rsid w:val="00987BB2"/>
    <w:rsid w:val="00991B13"/>
    <w:rsid w:val="009922A8"/>
    <w:rsid w:val="009C4117"/>
    <w:rsid w:val="009C728A"/>
    <w:rsid w:val="009E0978"/>
    <w:rsid w:val="009E7F17"/>
    <w:rsid w:val="009F03FE"/>
    <w:rsid w:val="00A01B8D"/>
    <w:rsid w:val="00A0468D"/>
    <w:rsid w:val="00A070DD"/>
    <w:rsid w:val="00A124FC"/>
    <w:rsid w:val="00A15A3C"/>
    <w:rsid w:val="00A251B3"/>
    <w:rsid w:val="00A312E3"/>
    <w:rsid w:val="00A61A49"/>
    <w:rsid w:val="00A76EF4"/>
    <w:rsid w:val="00A849CA"/>
    <w:rsid w:val="00A85ECB"/>
    <w:rsid w:val="00A868CE"/>
    <w:rsid w:val="00A86B84"/>
    <w:rsid w:val="00AA18E4"/>
    <w:rsid w:val="00AA1C4A"/>
    <w:rsid w:val="00AA5C40"/>
    <w:rsid w:val="00AA5F4D"/>
    <w:rsid w:val="00AB44A4"/>
    <w:rsid w:val="00AC4277"/>
    <w:rsid w:val="00AD5093"/>
    <w:rsid w:val="00AE2A07"/>
    <w:rsid w:val="00AF2A9C"/>
    <w:rsid w:val="00AF37BC"/>
    <w:rsid w:val="00B0218B"/>
    <w:rsid w:val="00B11C1F"/>
    <w:rsid w:val="00B207A1"/>
    <w:rsid w:val="00B26035"/>
    <w:rsid w:val="00B26539"/>
    <w:rsid w:val="00B26EDC"/>
    <w:rsid w:val="00B27387"/>
    <w:rsid w:val="00B301D5"/>
    <w:rsid w:val="00B3254E"/>
    <w:rsid w:val="00B44A19"/>
    <w:rsid w:val="00B44BB0"/>
    <w:rsid w:val="00B46385"/>
    <w:rsid w:val="00B5322A"/>
    <w:rsid w:val="00B56C24"/>
    <w:rsid w:val="00B57CDF"/>
    <w:rsid w:val="00B66445"/>
    <w:rsid w:val="00B80C43"/>
    <w:rsid w:val="00B82DFD"/>
    <w:rsid w:val="00B91DBC"/>
    <w:rsid w:val="00B9230F"/>
    <w:rsid w:val="00B94819"/>
    <w:rsid w:val="00B967A5"/>
    <w:rsid w:val="00BA4175"/>
    <w:rsid w:val="00BB080B"/>
    <w:rsid w:val="00BB3DC6"/>
    <w:rsid w:val="00BD1247"/>
    <w:rsid w:val="00BD3103"/>
    <w:rsid w:val="00BD7B4D"/>
    <w:rsid w:val="00BE77F6"/>
    <w:rsid w:val="00BF011F"/>
    <w:rsid w:val="00C02920"/>
    <w:rsid w:val="00C0387E"/>
    <w:rsid w:val="00C056F4"/>
    <w:rsid w:val="00C1336A"/>
    <w:rsid w:val="00C16E0E"/>
    <w:rsid w:val="00C218D0"/>
    <w:rsid w:val="00C255AE"/>
    <w:rsid w:val="00C31D5F"/>
    <w:rsid w:val="00C41FE8"/>
    <w:rsid w:val="00C469B5"/>
    <w:rsid w:val="00C5045B"/>
    <w:rsid w:val="00C54477"/>
    <w:rsid w:val="00C55DDD"/>
    <w:rsid w:val="00C67069"/>
    <w:rsid w:val="00C71FDB"/>
    <w:rsid w:val="00C73B83"/>
    <w:rsid w:val="00C74B8A"/>
    <w:rsid w:val="00C82B31"/>
    <w:rsid w:val="00C85CDF"/>
    <w:rsid w:val="00C86A69"/>
    <w:rsid w:val="00C93308"/>
    <w:rsid w:val="00CA2986"/>
    <w:rsid w:val="00CD33AD"/>
    <w:rsid w:val="00CE34FD"/>
    <w:rsid w:val="00CE6910"/>
    <w:rsid w:val="00CF0FDF"/>
    <w:rsid w:val="00CF37F8"/>
    <w:rsid w:val="00CF4AAD"/>
    <w:rsid w:val="00D1310A"/>
    <w:rsid w:val="00D20B94"/>
    <w:rsid w:val="00D2311D"/>
    <w:rsid w:val="00D2385A"/>
    <w:rsid w:val="00D258C9"/>
    <w:rsid w:val="00D47066"/>
    <w:rsid w:val="00D57B9F"/>
    <w:rsid w:val="00D820F0"/>
    <w:rsid w:val="00D85939"/>
    <w:rsid w:val="00D85AA0"/>
    <w:rsid w:val="00D863DD"/>
    <w:rsid w:val="00D9107F"/>
    <w:rsid w:val="00D9313C"/>
    <w:rsid w:val="00D9461F"/>
    <w:rsid w:val="00DA4780"/>
    <w:rsid w:val="00DC6848"/>
    <w:rsid w:val="00DC74AD"/>
    <w:rsid w:val="00DD24A1"/>
    <w:rsid w:val="00DE0340"/>
    <w:rsid w:val="00E015CC"/>
    <w:rsid w:val="00E03FE2"/>
    <w:rsid w:val="00E04A63"/>
    <w:rsid w:val="00E06C42"/>
    <w:rsid w:val="00E074F4"/>
    <w:rsid w:val="00E1180F"/>
    <w:rsid w:val="00E1307C"/>
    <w:rsid w:val="00E241F7"/>
    <w:rsid w:val="00E31D9E"/>
    <w:rsid w:val="00E338CE"/>
    <w:rsid w:val="00E35766"/>
    <w:rsid w:val="00E364F0"/>
    <w:rsid w:val="00E42DE6"/>
    <w:rsid w:val="00E57CD5"/>
    <w:rsid w:val="00E67828"/>
    <w:rsid w:val="00E72A11"/>
    <w:rsid w:val="00E83279"/>
    <w:rsid w:val="00E92241"/>
    <w:rsid w:val="00EC05B2"/>
    <w:rsid w:val="00EC078A"/>
    <w:rsid w:val="00EC263B"/>
    <w:rsid w:val="00EC30E5"/>
    <w:rsid w:val="00EC4293"/>
    <w:rsid w:val="00ED38EE"/>
    <w:rsid w:val="00EE175F"/>
    <w:rsid w:val="00F11B59"/>
    <w:rsid w:val="00F219D4"/>
    <w:rsid w:val="00F54E90"/>
    <w:rsid w:val="00F55BD1"/>
    <w:rsid w:val="00F56077"/>
    <w:rsid w:val="00F6164B"/>
    <w:rsid w:val="00F66C77"/>
    <w:rsid w:val="00F76A11"/>
    <w:rsid w:val="00F776CD"/>
    <w:rsid w:val="00F9030A"/>
    <w:rsid w:val="00F975AD"/>
    <w:rsid w:val="00FA009E"/>
    <w:rsid w:val="00FA22FA"/>
    <w:rsid w:val="00FB634A"/>
    <w:rsid w:val="00FD251D"/>
    <w:rsid w:val="00FD5C8A"/>
    <w:rsid w:val="00FE0FAD"/>
    <w:rsid w:val="00FE762A"/>
    <w:rsid w:val="00FF05A9"/>
    <w:rsid w:val="00FF4433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D4FB473-3BF2-42A4-93F7-70F013E5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1A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A85ECB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link w:val="03-Ementa-CLG"/>
    <w:rsid w:val="00A85ECB"/>
    <w:rPr>
      <w:rFonts w:ascii="Times New Roman" w:eastAsia="Arial Unicode MS" w:hAnsi="Times New Roman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link w:val="01-Minuta-CLG"/>
    <w:rsid w:val="00A85ECB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link w:val="02-TtuloPrincipal-CLG"/>
    <w:rsid w:val="00A85ECB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link w:val="04-Relatoria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5-Subttulo-CLGChar">
    <w:name w:val="05 - Subtítulo - CLG Char"/>
    <w:link w:val="05-Subttulo-CLG"/>
    <w:rsid w:val="00A85ECB"/>
    <w:rPr>
      <w:rFonts w:ascii="Times New Roman" w:eastAsia="Times New Roman" w:hAnsi="Times New Roman"/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link w:val="06-Pargrafodetexto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0-Local-CLGChar">
    <w:name w:val="10 - Local - CLG Char"/>
    <w:link w:val="10-Local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1-Assinaturas-CLGChar">
    <w:name w:val="11 - Assinaturas - CLG Char"/>
    <w:link w:val="11-Assinaturas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7-Citaolegal-CLG">
    <w:name w:val="07 - Citação legal - CLG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paragraph" w:customStyle="1" w:styleId="05-Pargrafodetexto-CLG">
    <w:name w:val="05 - Parágrafo de texto - CLG"/>
    <w:link w:val="05-Pargrafodetexto-CLGChar"/>
    <w:rsid w:val="00A0468D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5-Pargrafodetexto-CLGChar">
    <w:name w:val="05 - Parágrafo de texto - CLG Char"/>
    <w:link w:val="05-Pargrafodetexto-CLG"/>
    <w:rsid w:val="00A0468D"/>
    <w:rPr>
      <w:rFonts w:ascii="Times New Roman" w:eastAsia="Times New Roman" w:hAnsi="Times New Roman"/>
      <w:sz w:val="28"/>
      <w:lang w:val="pt-BR" w:eastAsia="pt-BR" w:bidi="ar-SA"/>
    </w:rPr>
  </w:style>
  <w:style w:type="character" w:styleId="Hyperlink">
    <w:name w:val="Hyperlink"/>
    <w:rsid w:val="003811AD"/>
    <w:rPr>
      <w:color w:val="0505A0"/>
      <w:spacing w:val="0"/>
      <w:u w:val="single"/>
    </w:rPr>
  </w:style>
  <w:style w:type="paragraph" w:styleId="NormalWeb">
    <w:name w:val="Normal (Web)"/>
    <w:basedOn w:val="Normal"/>
    <w:rsid w:val="003811AD"/>
    <w:pPr>
      <w:spacing w:before="100" w:beforeAutospacing="1" w:after="100" w:afterAutospacing="1"/>
    </w:pPr>
  </w:style>
  <w:style w:type="paragraph" w:customStyle="1" w:styleId="textbody">
    <w:name w:val="textbody"/>
    <w:basedOn w:val="Normal"/>
    <w:rsid w:val="003025A7"/>
    <w:pPr>
      <w:spacing w:before="100" w:beforeAutospacing="1" w:after="100" w:afterAutospacing="1"/>
    </w:pPr>
  </w:style>
  <w:style w:type="paragraph" w:customStyle="1" w:styleId="Textbody0">
    <w:name w:val="Text body"/>
    <w:basedOn w:val="Normal"/>
    <w:rsid w:val="000F182D"/>
    <w:pPr>
      <w:widowControl w:val="0"/>
      <w:suppressAutoHyphens/>
      <w:autoSpaceDN w:val="0"/>
      <w:spacing w:after="120"/>
      <w:textAlignment w:val="baseline"/>
    </w:pPr>
    <w:rPr>
      <w:rFonts w:eastAsia="Lucida Sans Unicode" w:cs="Mangal"/>
      <w:kern w:val="3"/>
      <w:lang w:eastAsia="zh-CN" w:bidi="hi-IN"/>
    </w:rPr>
  </w:style>
  <w:style w:type="character" w:styleId="Refdecomentrio">
    <w:name w:val="annotation reference"/>
    <w:uiPriority w:val="99"/>
    <w:semiHidden/>
    <w:unhideWhenUsed/>
    <w:rsid w:val="009E097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E0978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9E09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978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E097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09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E097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F9030A"/>
  </w:style>
  <w:style w:type="character" w:styleId="nfase">
    <w:name w:val="Emphasis"/>
    <w:uiPriority w:val="20"/>
    <w:qFormat/>
    <w:rsid w:val="00F9030A"/>
    <w:rPr>
      <w:i/>
      <w:iCs/>
    </w:rPr>
  </w:style>
  <w:style w:type="paragraph" w:customStyle="1" w:styleId="04-PargrafodetextoEstudoNotas-CLG">
    <w:name w:val="04 - Parágrafo de texto Estudo Notas - CLG"/>
    <w:link w:val="04-PargrafodetextoEstudoNotas-CLGChar"/>
    <w:rsid w:val="00CA2986"/>
    <w:pPr>
      <w:spacing w:after="360" w:line="360" w:lineRule="auto"/>
      <w:ind w:firstLine="1418"/>
      <w:jc w:val="both"/>
    </w:pPr>
    <w:rPr>
      <w:rFonts w:ascii="Times New Roman" w:eastAsia="Times New Roman" w:hAnsi="Times New Roman"/>
      <w:sz w:val="28"/>
      <w:szCs w:val="22"/>
      <w:lang w:val="en-US"/>
    </w:rPr>
  </w:style>
  <w:style w:type="character" w:customStyle="1" w:styleId="04-PargrafodetextoEstudoNotas-CLGChar">
    <w:name w:val="04 - Parágrafo de texto Estudo Notas - CLG Char"/>
    <w:link w:val="04-PargrafodetextoEstudoNotas-CLG"/>
    <w:rsid w:val="00CA2986"/>
    <w:rPr>
      <w:rFonts w:ascii="Times New Roman" w:eastAsia="Times New Roman" w:hAnsi="Times New Roman"/>
      <w:sz w:val="28"/>
      <w:szCs w:val="22"/>
      <w:lang w:val="en-US" w:eastAsia="pt-BR" w:bidi="ar-SA"/>
    </w:rPr>
  </w:style>
  <w:style w:type="paragraph" w:styleId="Textodenotaderodap">
    <w:name w:val="footnote text"/>
    <w:basedOn w:val="Normal"/>
    <w:link w:val="TextodenotaderodapChar"/>
    <w:rsid w:val="00CA2986"/>
    <w:rPr>
      <w:sz w:val="20"/>
      <w:szCs w:val="20"/>
    </w:rPr>
  </w:style>
  <w:style w:type="character" w:customStyle="1" w:styleId="TextodenotaderodapChar">
    <w:name w:val="Texto de nota de rodapé Char"/>
    <w:link w:val="Textodenotaderodap"/>
    <w:rsid w:val="00CA298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CA2986"/>
    <w:rPr>
      <w:vertAlign w:val="superscript"/>
    </w:rPr>
  </w:style>
  <w:style w:type="paragraph" w:styleId="Reviso">
    <w:name w:val="Revision"/>
    <w:hidden/>
    <w:uiPriority w:val="99"/>
    <w:semiHidden/>
    <w:rsid w:val="00B56C24"/>
    <w:rPr>
      <w:rFonts w:ascii="Times New Roman" w:eastAsia="Times New Roman" w:hAnsi="Times New Roman"/>
      <w:sz w:val="24"/>
      <w:szCs w:val="24"/>
    </w:rPr>
  </w:style>
  <w:style w:type="paragraph" w:customStyle="1" w:styleId="FormaLivre">
    <w:name w:val="Forma Livre"/>
    <w:rsid w:val="00F66C77"/>
    <w:rPr>
      <w:rFonts w:ascii="Helvetica" w:eastAsia="ヒラギノ角ゴ Pro W3" w:hAnsi="Helvetica"/>
      <w:color w:val="000000"/>
      <w:sz w:val="24"/>
      <w:lang w:val="pt-PT"/>
    </w:rPr>
  </w:style>
  <w:style w:type="paragraph" w:customStyle="1" w:styleId="Default">
    <w:name w:val="Default"/>
    <w:uiPriority w:val="99"/>
    <w:rsid w:val="007A5C7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04ParteNormativa">
    <w:name w:val="04 Parte Normativa"/>
    <w:basedOn w:val="Normal"/>
    <w:rsid w:val="007A5C7A"/>
    <w:pPr>
      <w:spacing w:after="120"/>
      <w:ind w:firstLine="1418"/>
      <w:jc w:val="both"/>
    </w:pPr>
  </w:style>
  <w:style w:type="paragraph" w:customStyle="1" w:styleId="Corpo">
    <w:name w:val="Corpo"/>
    <w:basedOn w:val="Normal"/>
    <w:next w:val="Normal"/>
    <w:rsid w:val="00275EA5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CorpoPadro">
    <w:name w:val="Corpo Padrão"/>
    <w:basedOn w:val="Normal"/>
    <w:rsid w:val="00275EA5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275EA5"/>
    <w:pPr>
      <w:widowControl w:val="0"/>
      <w:spacing w:before="1072" w:after="357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9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9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2872623-4A9E-4BE2-B130-2ABF6F45E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660</Words>
  <Characters>3568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Senado Federal</Company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Raimundo Nonato Silva Damasceno Junior</dc:creator>
  <cp:keywords/>
  <cp:lastModifiedBy>Rodrigo Ribeiro Bedritichuk</cp:lastModifiedBy>
  <cp:revision>15</cp:revision>
  <cp:lastPrinted>2015-12-02T10:31:00Z</cp:lastPrinted>
  <dcterms:created xsi:type="dcterms:W3CDTF">2015-12-02T10:28:00Z</dcterms:created>
  <dcterms:modified xsi:type="dcterms:W3CDTF">2016-03-09T17:47:00Z</dcterms:modified>
</cp:coreProperties>
</file>