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3BC3" w:rsidRDefault="009359C9" w:rsidP="009A3BC3">
      <w:pPr>
        <w:pStyle w:val="02-TtuloPrincipal-CLG"/>
      </w:pPr>
      <w:r>
        <w:t>COMPLEMENTAÇÃO DE VOTO</w:t>
      </w:r>
    </w:p>
    <w:p w:rsidR="009A3BC3" w:rsidRPr="00D47731" w:rsidRDefault="009359C9" w:rsidP="009A3BC3">
      <w:pPr>
        <w:pStyle w:val="03-Ementa-CLG"/>
      </w:pPr>
      <w:r>
        <w:t xml:space="preserve">Perante </w:t>
      </w:r>
      <w:r w:rsidR="009A3BC3">
        <w:t xml:space="preserve">a COMISSÃO MISTA, sobre a Medida Provisória nº 675, de 21 de maio de 2015, que </w:t>
      </w:r>
      <w:r w:rsidR="009A3BC3" w:rsidRPr="00E3497F">
        <w:rPr>
          <w:i/>
        </w:rPr>
        <w:t>altera a Lei nº 7.689, de 15 de dezembro de 1988, para elevar a alíquota da Contribuição Social sobre o Lucro Líquido - CSLL em relação às pessoas jurídicas de seguros privados e de capitalização e às referidas nos incisos I a VII, IX e X do § 1º do art. 1º da Lei Complementar nº 105, de 10 de janeiro de 2001</w:t>
      </w:r>
      <w:r w:rsidR="009A3BC3" w:rsidRPr="00D47731">
        <w:t>.</w:t>
      </w:r>
    </w:p>
    <w:p w:rsidR="009A3BC3" w:rsidRPr="004A63C0" w:rsidRDefault="009A3BC3" w:rsidP="009A3BC3">
      <w:pPr>
        <w:pStyle w:val="04-Relatoria-CLG"/>
        <w:rPr>
          <w:b/>
        </w:rPr>
      </w:pPr>
      <w:r>
        <w:t xml:space="preserve">RELATORA: Senadora </w:t>
      </w:r>
      <w:r w:rsidRPr="004A63C0">
        <w:rPr>
          <w:b/>
        </w:rPr>
        <w:t>GLEISI HOFFMANN</w:t>
      </w:r>
    </w:p>
    <w:p w:rsidR="009A3BC3" w:rsidRDefault="009A3BC3" w:rsidP="001F5293">
      <w:pPr>
        <w:pStyle w:val="05-Subttulo-CLG"/>
        <w:spacing w:after="360"/>
      </w:pPr>
      <w:r>
        <w:t>I – RELATÓRIO</w:t>
      </w:r>
      <w:r w:rsidR="00CF4A88">
        <w:t xml:space="preserve"> E VOTO</w:t>
      </w:r>
    </w:p>
    <w:p w:rsidR="000D6E3E" w:rsidRDefault="009359C9" w:rsidP="009A3BC3">
      <w:pPr>
        <w:pStyle w:val="05-Pargrafodetexto-CLG"/>
      </w:pPr>
      <w:r>
        <w:t xml:space="preserve">As manifestações </w:t>
      </w:r>
      <w:r w:rsidR="000D6E3E">
        <w:t xml:space="preserve">de </w:t>
      </w:r>
      <w:r w:rsidR="005F60D9">
        <w:t>parlamentares</w:t>
      </w:r>
      <w:r w:rsidR="00215340">
        <w:t>,</w:t>
      </w:r>
      <w:r w:rsidR="000D6E3E">
        <w:t xml:space="preserve"> </w:t>
      </w:r>
      <w:r w:rsidR="00215340">
        <w:t xml:space="preserve">de Governo </w:t>
      </w:r>
      <w:r w:rsidR="000D6E3E">
        <w:t xml:space="preserve">e </w:t>
      </w:r>
      <w:r w:rsidR="005F60D9">
        <w:t xml:space="preserve">de </w:t>
      </w:r>
      <w:r w:rsidR="000D6E3E">
        <w:t xml:space="preserve">setores </w:t>
      </w:r>
      <w:r w:rsidR="000B39C7">
        <w:t>produtivos</w:t>
      </w:r>
      <w:r w:rsidR="000D6E3E">
        <w:t xml:space="preserve"> </w:t>
      </w:r>
      <w:r>
        <w:t>que rece</w:t>
      </w:r>
      <w:r w:rsidR="000D6E3E">
        <w:t>bemos desde a apresentação do relatório em 12 de agosto passado levaram-nos a reavaliar algumas iniciativas nele contidas.</w:t>
      </w:r>
    </w:p>
    <w:p w:rsidR="00BC6905" w:rsidRDefault="00215340" w:rsidP="009A3BC3">
      <w:pPr>
        <w:pStyle w:val="05-Pargrafodetexto-CLG"/>
      </w:pPr>
      <w:r>
        <w:t xml:space="preserve">Decidimos, por não haver convergência imediata, </w:t>
      </w:r>
      <w:r w:rsidR="000B39C7">
        <w:t>debater</w:t>
      </w:r>
      <w:r>
        <w:t>, em projetos de lei, matérias que tratam</w:t>
      </w:r>
      <w:r w:rsidR="00BC6905">
        <w:t>:</w:t>
      </w:r>
    </w:p>
    <w:p w:rsidR="00BC6905" w:rsidRDefault="000B39C7" w:rsidP="00BC6905">
      <w:pPr>
        <w:pStyle w:val="05-Pargrafodetexto-CLG"/>
        <w:numPr>
          <w:ilvl w:val="0"/>
          <w:numId w:val="11"/>
        </w:numPr>
      </w:pPr>
      <w:r>
        <w:t xml:space="preserve"> </w:t>
      </w:r>
      <w:proofErr w:type="gramStart"/>
      <w:r w:rsidR="00215340">
        <w:t>da</w:t>
      </w:r>
      <w:proofErr w:type="gramEnd"/>
      <w:r>
        <w:t xml:space="preserve"> tributação do extrato concentrado </w:t>
      </w:r>
      <w:r w:rsidR="00BC6905">
        <w:t xml:space="preserve">de refrigerantes fabricado na Zona Franca de Manaus (Emendas nºs </w:t>
      </w:r>
      <w:proofErr w:type="gramStart"/>
      <w:r w:rsidR="00BC6905">
        <w:t>133 e 147 e art. 8º do PLV)</w:t>
      </w:r>
      <w:proofErr w:type="gramEnd"/>
      <w:r w:rsidR="00BC6905">
        <w:t>;</w:t>
      </w:r>
    </w:p>
    <w:p w:rsidR="009A3BC3" w:rsidRDefault="00BC6905" w:rsidP="00BC6905">
      <w:pPr>
        <w:pStyle w:val="05-Pargrafodetexto-CLG"/>
        <w:numPr>
          <w:ilvl w:val="0"/>
          <w:numId w:val="11"/>
        </w:numPr>
      </w:pPr>
      <w:r>
        <w:t xml:space="preserve"> </w:t>
      </w:r>
      <w:proofErr w:type="gramStart"/>
      <w:r w:rsidR="00215340">
        <w:t>da</w:t>
      </w:r>
      <w:proofErr w:type="gramEnd"/>
      <w:r>
        <w:t xml:space="preserve"> eliminação, em etapas, da faculdade de dedução pelas </w:t>
      </w:r>
      <w:r w:rsidR="00007887">
        <w:t xml:space="preserve">pessoas </w:t>
      </w:r>
      <w:r>
        <w:t>jurídicas dos juros sobre o capital próprio (Emenda nº 68 e art. 10, primeira parte, do PLV);</w:t>
      </w:r>
    </w:p>
    <w:p w:rsidR="00BC6905" w:rsidRDefault="00215340" w:rsidP="00BC6905">
      <w:pPr>
        <w:pStyle w:val="05-Pargrafodetexto-CLG"/>
        <w:numPr>
          <w:ilvl w:val="0"/>
          <w:numId w:val="11"/>
        </w:numPr>
      </w:pPr>
      <w:proofErr w:type="gramStart"/>
      <w:r>
        <w:t>da</w:t>
      </w:r>
      <w:proofErr w:type="gramEnd"/>
      <w:r w:rsidR="00BC6905">
        <w:t xml:space="preserve"> </w:t>
      </w:r>
      <w:proofErr w:type="spellStart"/>
      <w:r w:rsidR="00BC6905">
        <w:t>reoneração</w:t>
      </w:r>
      <w:proofErr w:type="spellEnd"/>
      <w:r w:rsidR="00BC6905">
        <w:t xml:space="preserve"> de PIS/</w:t>
      </w:r>
      <w:proofErr w:type="spellStart"/>
      <w:r w:rsidR="00BC6905">
        <w:t>Pasep</w:t>
      </w:r>
      <w:proofErr w:type="spellEnd"/>
      <w:r w:rsidR="00BC6905">
        <w:t xml:space="preserve"> e Cofins sobre partes utilizadas exclusiva ou principalmente em aerogeradores (Emenda nº 31 e art. 13 do PLV). </w:t>
      </w:r>
    </w:p>
    <w:p w:rsidR="00215340" w:rsidRDefault="00215340" w:rsidP="00613BCA">
      <w:pPr>
        <w:pStyle w:val="05-Pargrafodetexto-CLG"/>
      </w:pPr>
      <w:r>
        <w:t xml:space="preserve">Infelizmente considero que não temos ambiente propício para avançar em tais temas, principalmente o relativo aos juros sobre capital próprio, </w:t>
      </w:r>
      <w:r>
        <w:lastRenderedPageBreak/>
        <w:t>que, no meu entender, mais do que acabar com o benefício tributário para o capital, corrigiria uma distorção em nosso sistema.</w:t>
      </w:r>
    </w:p>
    <w:p w:rsidR="00613BCA" w:rsidRDefault="007A5301" w:rsidP="00613BCA">
      <w:pPr>
        <w:pStyle w:val="05-Pargrafodetexto-CLG"/>
      </w:pPr>
      <w:r>
        <w:t xml:space="preserve">Acolheremos outras matérias urgentes e relevantes que chegaram ao nosso conhecimento. A primeira delas </w:t>
      </w:r>
      <w:r w:rsidR="00D14929">
        <w:t xml:space="preserve">diz respeito ao estímulo à microgeração e minigeração distribuída de energia elétrica. </w:t>
      </w:r>
      <w:r w:rsidR="00613BCA">
        <w:t xml:space="preserve">O Conselho Nacional de Política Fazendária (CONFAZ) autorizou, mediante o Convênio ICMS nº16, de abril de 2015, os Estados a concederem isenção do ICMS na energia compensada na micro e minigeração de energia elétrica. Tendo como resultado a incidência do imposto no consumo líquido do consumidor. Parte dos equipamentos necessários já foram contemplados com isenção do ICMS por meio do Convênio Confaz nº 101, de 1997. </w:t>
      </w:r>
    </w:p>
    <w:p w:rsidR="00CF4A88" w:rsidRDefault="00613BCA" w:rsidP="00613BCA">
      <w:pPr>
        <w:pStyle w:val="05-Pargrafodetexto-CLG"/>
      </w:pPr>
      <w:r>
        <w:t xml:space="preserve">Propomos desonerar de PIS/Pasep e Cofins tanto a geração de energia por parte do consumidor como o investimento em equipamentos. Com relação à incidência de tributos na geração de energia distribuída, no âmbito do art. 14 da Lei de Responsabilidade Fiscal, destaca-se que a perda de receita seria irrisória. Conforme as estimativas previstas pela </w:t>
      </w:r>
      <w:r w:rsidR="00AB75D6">
        <w:t>Agência Nacional de Energia Elétrica (</w:t>
      </w:r>
      <w:r>
        <w:t>ANEEL</w:t>
      </w:r>
      <w:r w:rsidR="00AB75D6">
        <w:t>)</w:t>
      </w:r>
      <w:r>
        <w:t>, a perda de ICMS com a implementação do Convênio Confaz nº 16, de 2015, será da ordem de R$ 43 milhões por ano, a partir de 2024. Uma vez que as alíquotas de PIS/Pasep e Cofins correspondem aproximadamente à metade da alíquota de ICMS, prevê-se impacto marginal para as receitas da União, exclusivamente devido à redução a zero das alíquotas de PIS/Pasep e Cofins incidentes sobre a geração de energia pelo consumidor. Por outro lado, haverá impactos positivos na geração de empregos, aquecimento da economia e consequente arrecadação de tributos devida ao incentivo proporcionado pela iniciativa.</w:t>
      </w:r>
    </w:p>
    <w:p w:rsidR="00AB75D6" w:rsidRDefault="00AB75D6" w:rsidP="00613BCA">
      <w:pPr>
        <w:pStyle w:val="05-Pargrafodetexto-CLG"/>
      </w:pPr>
      <w:r>
        <w:t xml:space="preserve">A segunda matéria cuida de autorização para que a ANEEL </w:t>
      </w:r>
      <w:r w:rsidR="00C34A04">
        <w:t xml:space="preserve">anua com a repactuação </w:t>
      </w:r>
      <w:r w:rsidR="000B62EC">
        <w:t xml:space="preserve">das dívidas, em moeda estrangeira, das empresas incluídas no Programa Nacional de Desestatização (PND) nas seguintes condições: </w:t>
      </w:r>
      <w:r w:rsidR="00CF2FCB">
        <w:t>conversão para moeda nacional, com remuneração mensal pela variação da taxa Selic e prazo máximo de 120 meses considerando períodos de carência e amortização.</w:t>
      </w:r>
    </w:p>
    <w:p w:rsidR="00CF2FCB" w:rsidRDefault="00CF2FCB" w:rsidP="00613BCA">
      <w:pPr>
        <w:pStyle w:val="05-Pargrafodetexto-CLG"/>
      </w:pPr>
      <w:r>
        <w:t xml:space="preserve">A </w:t>
      </w:r>
      <w:r w:rsidR="00EC23C2">
        <w:t xml:space="preserve">terceira matéria trata da revogação do parágrafo único do art. 6º da Lei nº 9.986, de 18 de julho de 2000, que </w:t>
      </w:r>
      <w:r w:rsidR="00EC23C2" w:rsidRPr="00007887">
        <w:rPr>
          <w:i/>
        </w:rPr>
        <w:t>dispõe sobre a gestão de recursos humanos das Agências</w:t>
      </w:r>
      <w:r w:rsidR="00EC23C2">
        <w:t xml:space="preserve"> </w:t>
      </w:r>
      <w:r w:rsidR="00EC23C2" w:rsidRPr="00007887">
        <w:rPr>
          <w:i/>
        </w:rPr>
        <w:t>Reguladoras e dá outras providências</w:t>
      </w:r>
      <w:r w:rsidR="00EC23C2">
        <w:t>. A revogação proposta visa evitar a eternização de interinos em casos de vacância de cargos de direção dessas agências.</w:t>
      </w:r>
    </w:p>
    <w:p w:rsidR="009A3BC3" w:rsidRDefault="009A3BC3" w:rsidP="009A3BC3">
      <w:pPr>
        <w:pStyle w:val="05-Pargrafodetexto-CLG"/>
      </w:pPr>
      <w:r>
        <w:lastRenderedPageBreak/>
        <w:t xml:space="preserve">Ante o exposto, votamos pela constitucionalidade, juridicidade e boa técnica legislativa da medida provisória, bem como pelo atendimento dos pressupostos de relevância e urgência e pela adequação financeira e orçamentária. No mérito, votamos pela aprovação da Medida Provisória nº 675, de 2015, </w:t>
      </w:r>
      <w:r w:rsidR="00BC37EF">
        <w:t xml:space="preserve">acolhidas, integralmente, </w:t>
      </w:r>
      <w:r>
        <w:t xml:space="preserve">as Emendas nºs </w:t>
      </w:r>
      <w:r w:rsidR="00BC37EF">
        <w:t>18, 29</w:t>
      </w:r>
      <w:r w:rsidR="00E656D5">
        <w:t>,</w:t>
      </w:r>
      <w:r w:rsidR="00BC37EF">
        <w:t xml:space="preserve"> 120</w:t>
      </w:r>
      <w:r w:rsidR="00E656D5">
        <w:t xml:space="preserve"> e 172</w:t>
      </w:r>
      <w:r w:rsidR="00BC37EF">
        <w:t xml:space="preserve">, e, parcialmente, as de nº </w:t>
      </w:r>
      <w:r>
        <w:t xml:space="preserve">12, 16, 17, 19, 34, </w:t>
      </w:r>
      <w:r w:rsidR="00FC384E">
        <w:t xml:space="preserve">39, </w:t>
      </w:r>
      <w:r>
        <w:t>64, 65, 73, 78, 87, 112, 130, 137, 144, 158, 174 e 177, na forma do seguinte projeto de lei de conversão, e pela rejeição das demais emendas apresentadas na Comissão Mista.</w:t>
      </w:r>
    </w:p>
    <w:p w:rsidR="009A3BC3" w:rsidRPr="00533C65" w:rsidRDefault="009A3BC3" w:rsidP="009A3BC3">
      <w:pPr>
        <w:pStyle w:val="02-TtuloPrincipal-CLG"/>
      </w:pPr>
      <w:r>
        <w:t>PROJETO DE LEI DE CONVERSÃO Nº     , DE 2015 (Proveniente da Medida Provisória nº 675, de 2015)</w:t>
      </w:r>
    </w:p>
    <w:p w:rsidR="009A3BC3" w:rsidRPr="00533C65" w:rsidRDefault="009A3BC3" w:rsidP="009A3BC3">
      <w:pPr>
        <w:pStyle w:val="03-Ementa-CLG"/>
      </w:pPr>
      <w:r>
        <w:t>Altera a Lei nº 7.689, de 15 de dezembro de 1988, para elevar a alíquota da Contribuição Social sobre o Lucro Líquido – CSLL em relação às pessoas jurídicas de seguros privados e de capitalização, e às referidas nos incisos I a VII, IX e X do § 1º do art. 1º da Lei Complementar nº 105, de 10 de janeiro de 2001; altera as Leis nº</w:t>
      </w:r>
      <w:r w:rsidRPr="00DB5972">
        <w:rPr>
          <w:vertAlign w:val="superscript"/>
        </w:rPr>
        <w:t>s</w:t>
      </w:r>
      <w:r>
        <w:rPr>
          <w:vertAlign w:val="superscript"/>
        </w:rPr>
        <w:t xml:space="preserve"> </w:t>
      </w:r>
      <w:r w:rsidRPr="00E01BEF">
        <w:t>8.402, de 8 de janeiro de 1992</w:t>
      </w:r>
      <w:r>
        <w:t xml:space="preserve">, </w:t>
      </w:r>
      <w:r w:rsidR="00764814">
        <w:t xml:space="preserve">9.249, de 26 de dezembro de 1995, </w:t>
      </w:r>
      <w:r w:rsidR="008878C8" w:rsidRPr="008878C8">
        <w:t>9.491, de 9 de setembro de 1997</w:t>
      </w:r>
      <w:r w:rsidR="008878C8">
        <w:t xml:space="preserve">, </w:t>
      </w:r>
      <w:r>
        <w:t>9</w:t>
      </w:r>
      <w:r w:rsidRPr="00E01BEF">
        <w:t>.808, de 20 de julho de 1999</w:t>
      </w:r>
      <w:r>
        <w:t xml:space="preserve">, </w:t>
      </w:r>
      <w:r w:rsidRPr="004B5E86">
        <w:t>10.6</w:t>
      </w:r>
      <w:r>
        <w:t>37</w:t>
      </w:r>
      <w:r w:rsidRPr="004B5E86">
        <w:t xml:space="preserve">, de 30 de </w:t>
      </w:r>
      <w:r>
        <w:t>dezembro</w:t>
      </w:r>
      <w:r w:rsidRPr="004B5E86">
        <w:t xml:space="preserve"> de 200</w:t>
      </w:r>
      <w:r>
        <w:t>2</w:t>
      </w:r>
      <w:r w:rsidRPr="004B5E86">
        <w:t>,</w:t>
      </w:r>
      <w:r>
        <w:t xml:space="preserve"> </w:t>
      </w:r>
      <w:r w:rsidRPr="00E01BEF">
        <w:t>10.</w:t>
      </w:r>
      <w:r>
        <w:t>833</w:t>
      </w:r>
      <w:r w:rsidRPr="00E01BEF">
        <w:t>, de 2</w:t>
      </w:r>
      <w:r>
        <w:t>9</w:t>
      </w:r>
      <w:r w:rsidRPr="00E01BEF">
        <w:t xml:space="preserve"> de </w:t>
      </w:r>
      <w:r>
        <w:t xml:space="preserve">dezembro de 2003, </w:t>
      </w:r>
      <w:r w:rsidRPr="00E01BEF">
        <w:t>11.033, de 21 de dezembro de 2004</w:t>
      </w:r>
      <w:r>
        <w:t xml:space="preserve">, </w:t>
      </w:r>
      <w:r w:rsidR="00007887">
        <w:t xml:space="preserve">e </w:t>
      </w:r>
      <w:r w:rsidRPr="00915AD9">
        <w:t>12.715, de 17 de setembro de 2012</w:t>
      </w:r>
      <w:r w:rsidR="00023B2E">
        <w:t xml:space="preserve">; </w:t>
      </w:r>
      <w:r w:rsidR="003C0629">
        <w:t xml:space="preserve">e </w:t>
      </w:r>
      <w:r w:rsidR="00023B2E">
        <w:t xml:space="preserve">revoga dispositivo da Lei nº </w:t>
      </w:r>
      <w:r w:rsidR="003C0629">
        <w:t>9</w:t>
      </w:r>
      <w:r w:rsidR="00023B2E">
        <w:t>.</w:t>
      </w:r>
      <w:r w:rsidR="003C0629">
        <w:t>9</w:t>
      </w:r>
      <w:r w:rsidR="00023B2E">
        <w:t xml:space="preserve">86, de </w:t>
      </w:r>
      <w:r w:rsidR="003C0629">
        <w:t xml:space="preserve">18 de julho de </w:t>
      </w:r>
      <w:r w:rsidR="00764814">
        <w:t>200</w:t>
      </w:r>
      <w:r w:rsidR="003C0629">
        <w:t>0</w:t>
      </w:r>
      <w:r>
        <w:t>.</w:t>
      </w:r>
    </w:p>
    <w:p w:rsidR="009A3BC3" w:rsidRDefault="009A3BC3" w:rsidP="009A3BC3">
      <w:pPr>
        <w:pStyle w:val="05-Pargrafodetexto-CLG"/>
      </w:pPr>
      <w:r>
        <w:t>O CONGRESSO NACIONAL decreta:</w:t>
      </w:r>
    </w:p>
    <w:p w:rsidR="009A3BC3" w:rsidRDefault="009A3BC3" w:rsidP="009A3BC3">
      <w:pPr>
        <w:pStyle w:val="05-Pargrafodetexto-CLG"/>
      </w:pPr>
      <w:r w:rsidRPr="000A0AB0">
        <w:rPr>
          <w:b/>
        </w:rPr>
        <w:t>Art. 1º</w:t>
      </w:r>
      <w:r>
        <w:t xml:space="preserve"> A Lei nº 7.689, de 15 de dezembro de 1988, passa a vigorar com a</w:t>
      </w:r>
      <w:r w:rsidR="001F250A">
        <w:t>s</w:t>
      </w:r>
      <w:r>
        <w:t xml:space="preserve"> seguinte</w:t>
      </w:r>
      <w:r w:rsidR="003C48C3">
        <w:t xml:space="preserve">s </w:t>
      </w:r>
      <w:r>
        <w:t>alteraç</w:t>
      </w:r>
      <w:r w:rsidR="003C48C3">
        <w:t>ões</w:t>
      </w:r>
      <w:r>
        <w:t>:</w:t>
      </w:r>
    </w:p>
    <w:p w:rsidR="009A3BC3" w:rsidRDefault="009A3BC3" w:rsidP="009A3BC3">
      <w:pPr>
        <w:pStyle w:val="07-Citaolegal-CLG"/>
      </w:pPr>
      <w:r>
        <w:t>“Art. 3º.............................................................................</w:t>
      </w:r>
    </w:p>
    <w:p w:rsidR="0036008D" w:rsidRDefault="009A3BC3" w:rsidP="0036008D">
      <w:pPr>
        <w:pStyle w:val="07-Citaolegal-CLG"/>
      </w:pPr>
      <w:r>
        <w:t>I – 2</w:t>
      </w:r>
      <w:r w:rsidR="0036008D">
        <w:t>0</w:t>
      </w:r>
      <w:r>
        <w:t>% (vinte</w:t>
      </w:r>
      <w:r w:rsidR="0036008D">
        <w:t xml:space="preserve"> </w:t>
      </w:r>
      <w:r>
        <w:t>por cento), no caso das pessoas jurídicas de seguros privados, das de capitalização e das referidas nos incisos I a VII</w:t>
      </w:r>
      <w:r w:rsidR="0036008D">
        <w:t xml:space="preserve">, IX </w:t>
      </w:r>
      <w:r>
        <w:t xml:space="preserve">e X do § 1º do art. 1º da Lei Complementar nº 105, de 10 de janeiro de 2001; </w:t>
      </w:r>
      <w:r w:rsidR="0036008D">
        <w:t xml:space="preserve">e </w:t>
      </w:r>
    </w:p>
    <w:p w:rsidR="009A3BC3" w:rsidRDefault="0036008D" w:rsidP="0036008D">
      <w:pPr>
        <w:pStyle w:val="07-Citaolegal-CLG"/>
      </w:pPr>
      <w:r>
        <w:t>............................................................................................</w:t>
      </w:r>
      <w:r w:rsidR="009A3BC3">
        <w:t>” (NR)</w:t>
      </w:r>
    </w:p>
    <w:p w:rsidR="0036008D" w:rsidRDefault="0036008D" w:rsidP="0036008D">
      <w:pPr>
        <w:pStyle w:val="07-Citaolegal-CLG"/>
      </w:pPr>
    </w:p>
    <w:p w:rsidR="00635C8E" w:rsidRDefault="009A3BC3" w:rsidP="009A3BC3">
      <w:pPr>
        <w:pStyle w:val="05-Pargrafodetexto-CLG"/>
      </w:pPr>
      <w:r w:rsidRPr="00DF5ED1">
        <w:rPr>
          <w:b/>
        </w:rPr>
        <w:lastRenderedPageBreak/>
        <w:t xml:space="preserve">Art. </w:t>
      </w:r>
      <w:r>
        <w:rPr>
          <w:b/>
        </w:rPr>
        <w:t>2</w:t>
      </w:r>
      <w:r w:rsidRPr="00DF5ED1">
        <w:rPr>
          <w:b/>
        </w:rPr>
        <w:t>º</w:t>
      </w:r>
      <w:r>
        <w:t xml:space="preserve"> A </w:t>
      </w:r>
      <w:r w:rsidR="00635C8E">
        <w:t xml:space="preserve">partir do primeiro dia do quarto mês subsequente ao da publicação desta Lei, a </w:t>
      </w:r>
      <w:r>
        <w:t xml:space="preserve">Lei nº 7.689, de </w:t>
      </w:r>
      <w:r w:rsidR="00635C8E">
        <w:t xml:space="preserve">15 de dezembro de </w:t>
      </w:r>
      <w:r>
        <w:t xml:space="preserve">1988, </w:t>
      </w:r>
      <w:r w:rsidR="00635C8E">
        <w:t>passa a vigorar com as seguintes alterações:</w:t>
      </w:r>
    </w:p>
    <w:p w:rsidR="00635C8E" w:rsidRDefault="00635C8E" w:rsidP="00635C8E">
      <w:pPr>
        <w:pStyle w:val="07-Citaolegal-CLG"/>
      </w:pPr>
      <w:r>
        <w:t>“Art. 3º.............................................................................</w:t>
      </w:r>
    </w:p>
    <w:p w:rsidR="00635C8E" w:rsidRDefault="00635C8E" w:rsidP="00635C8E">
      <w:pPr>
        <w:pStyle w:val="07-Citaolegal-CLG"/>
      </w:pPr>
      <w:r>
        <w:t xml:space="preserve">I – 23% (vinte e três por cento), no caso das pessoas jurídicas de seguros privados, das de capitalização e das referidas nos incisos I a VII e X do § 1º do art. 1º da Lei Complementar nº 105, de 10 de janeiro de 2001; </w:t>
      </w:r>
    </w:p>
    <w:p w:rsidR="00635C8E" w:rsidRDefault="00635C8E" w:rsidP="00635C8E">
      <w:pPr>
        <w:pStyle w:val="07-Citaolegal-CLG"/>
      </w:pPr>
      <w:r>
        <w:t>II – 17% (dezessete por cento), no caso das pessoas jurídicas referidas no inciso IX do § 1º do art. 1º da Lei Complementar nº 105, de 2001;</w:t>
      </w:r>
    </w:p>
    <w:p w:rsidR="00635C8E" w:rsidRDefault="00635C8E" w:rsidP="00635C8E">
      <w:pPr>
        <w:pStyle w:val="08-Citaolegal-ltimalinha-CLG"/>
      </w:pPr>
      <w:r>
        <w:t xml:space="preserve">III – </w:t>
      </w:r>
      <w:r w:rsidRPr="00821B80">
        <w:t>9% (nove por cento), no caso das demais pessoas jurídicas.</w:t>
      </w:r>
      <w:r>
        <w:t>” (NR)</w:t>
      </w:r>
    </w:p>
    <w:p w:rsidR="009A3BC3" w:rsidRDefault="009A3BC3" w:rsidP="009A3BC3">
      <w:pPr>
        <w:pStyle w:val="05-Pargrafodetexto-CLG"/>
      </w:pPr>
      <w:r w:rsidRPr="00DF5ED1">
        <w:rPr>
          <w:b/>
        </w:rPr>
        <w:t>Art.</w:t>
      </w:r>
      <w:r>
        <w:rPr>
          <w:b/>
        </w:rPr>
        <w:t xml:space="preserve"> 3</w:t>
      </w:r>
      <w:r w:rsidRPr="00DF5ED1">
        <w:rPr>
          <w:b/>
        </w:rPr>
        <w:t>º</w:t>
      </w:r>
      <w:r>
        <w:t xml:space="preserve"> O art. 4º da Lei nº 9.808, de 20 de julho de 1999, passa a vigorar com a seguinte redação:</w:t>
      </w:r>
    </w:p>
    <w:p w:rsidR="009A3BC3" w:rsidRDefault="009A3BC3" w:rsidP="009A3BC3">
      <w:pPr>
        <w:pStyle w:val="08-Citaolegal-ltimalinha-CLG"/>
      </w:pPr>
      <w:r>
        <w:t>“Art. 4º Será concedida aos empreendimentos que se implantarem, modernizarem, ampliarem ou diversificarem no Nordeste e na Amazônia e que sejam considerados de interesse para o desenvolvimento destas regiões, segundo avaliações técnicas específicas das respectivas Superintendências de Desenvolvimento, até 31 de dezembro de 2020, a isenção do Adicional ao Frete para a Renovação da Marinha Mercante (AFRMM)</w:t>
      </w:r>
      <w:r w:rsidR="003E0B72">
        <w:t>.</w:t>
      </w:r>
      <w:r>
        <w:t>” (NR)</w:t>
      </w:r>
    </w:p>
    <w:p w:rsidR="009A3BC3" w:rsidRDefault="009A3BC3" w:rsidP="009A3BC3">
      <w:pPr>
        <w:pStyle w:val="05-Pargrafodetexto-CLG"/>
      </w:pPr>
      <w:r w:rsidRPr="00A34DA2">
        <w:rPr>
          <w:b/>
        </w:rPr>
        <w:t xml:space="preserve">Art. </w:t>
      </w:r>
      <w:r>
        <w:rPr>
          <w:b/>
        </w:rPr>
        <w:t>4</w:t>
      </w:r>
      <w:r w:rsidRPr="00A34DA2">
        <w:rPr>
          <w:b/>
        </w:rPr>
        <w:t>º</w:t>
      </w:r>
      <w:r>
        <w:t xml:space="preserve"> O art. 1º da Lei nº 8.402, de 8 de janeiro de 1992, passa a vigorar acrescido de parágrafo com a seguinte redação:</w:t>
      </w:r>
    </w:p>
    <w:p w:rsidR="009A3BC3" w:rsidRDefault="009A3BC3" w:rsidP="009A3BC3">
      <w:pPr>
        <w:pStyle w:val="07-Citaolegal-CLG"/>
      </w:pPr>
      <w:r>
        <w:t>“Art. 1º ...............................................................................</w:t>
      </w:r>
    </w:p>
    <w:p w:rsidR="009A3BC3" w:rsidRDefault="009A3BC3" w:rsidP="009A3BC3">
      <w:pPr>
        <w:pStyle w:val="07-Citaolegal-CLG"/>
      </w:pPr>
      <w:r>
        <w:t>............................................................................................</w:t>
      </w:r>
    </w:p>
    <w:p w:rsidR="009A3BC3" w:rsidRDefault="009A3BC3" w:rsidP="009A3BC3">
      <w:pPr>
        <w:pStyle w:val="08-Citaolegal-ltimalinha-CLG"/>
      </w:pPr>
      <w:r>
        <w:t>§ 3º Na aplicação do regime aduaneiro especial de drawback à industrialização de embarcação de que trata o § 2º, o prazo de suspensão dos tributos poderá ser de até 7 (sete) anos.” (NR)</w:t>
      </w:r>
    </w:p>
    <w:p w:rsidR="009A3BC3" w:rsidRDefault="009A3BC3" w:rsidP="009A3BC3">
      <w:pPr>
        <w:pStyle w:val="05-Pargrafodetexto-CLG"/>
      </w:pPr>
      <w:r w:rsidRPr="00A34DA2">
        <w:rPr>
          <w:b/>
        </w:rPr>
        <w:t xml:space="preserve">Art. </w:t>
      </w:r>
      <w:r>
        <w:rPr>
          <w:b/>
        </w:rPr>
        <w:t>5</w:t>
      </w:r>
      <w:r w:rsidRPr="00A34DA2">
        <w:rPr>
          <w:b/>
        </w:rPr>
        <w:t>º</w:t>
      </w:r>
      <w:r>
        <w:t xml:space="preserve"> O art. 5º da Lei nº 10.637, de 30 de dezembro de 2002, passa a vigorar com a seguinte redação:</w:t>
      </w:r>
    </w:p>
    <w:p w:rsidR="009A3BC3" w:rsidRDefault="009A3BC3" w:rsidP="009A3BC3">
      <w:pPr>
        <w:pStyle w:val="07-Citaolegal-CLG"/>
      </w:pPr>
      <w:r>
        <w:t>“Art. 5º ...............................................................................</w:t>
      </w:r>
    </w:p>
    <w:p w:rsidR="009A3BC3" w:rsidRDefault="009A3BC3" w:rsidP="009A3BC3">
      <w:pPr>
        <w:pStyle w:val="07-Citaolegal-CLG"/>
      </w:pPr>
      <w:r>
        <w:t>............................................................................................</w:t>
      </w:r>
    </w:p>
    <w:p w:rsidR="009A3BC3" w:rsidRDefault="009A3BC3" w:rsidP="009A3BC3">
      <w:pPr>
        <w:pStyle w:val="07-Citaolegal-CLG"/>
      </w:pPr>
      <w:r>
        <w:lastRenderedPageBreak/>
        <w:t>IV – cessão ou transferência de direitos a pessoa física ou jurídica domiciliada no exterior, inclusive licença de tecnologia, cujo pagamento represente ingresso de divisas.</w:t>
      </w:r>
    </w:p>
    <w:p w:rsidR="00635C8E" w:rsidRDefault="009A3BC3" w:rsidP="009A3BC3">
      <w:pPr>
        <w:pStyle w:val="08-Citaolegal-ltimalinha-CLG"/>
      </w:pPr>
      <w:r>
        <w:t>........................................................................................</w:t>
      </w:r>
    </w:p>
    <w:p w:rsidR="009A3BC3" w:rsidRDefault="00635C8E" w:rsidP="009A3BC3">
      <w:pPr>
        <w:pStyle w:val="08-Citaolegal-ltimalinha-CLG"/>
      </w:pPr>
      <w:r>
        <w:t xml:space="preserve">§ 3º O disposto no inciso IV do </w:t>
      </w:r>
      <w:r w:rsidRPr="00635C8E">
        <w:rPr>
          <w:i/>
        </w:rPr>
        <w:t>caput</w:t>
      </w:r>
      <w:r>
        <w:t xml:space="preserve"> não se aplica no caso de cessão ou transferência de direitos a pessoa física ou jurídica domiciliada em país com tributação favorecida ou beneficiária de regime fiscal privilegiado, nos termos dos arts. 24 e 24-A da Lei nº 9.430, de 27 de dezembro de 1996.</w:t>
      </w:r>
      <w:r w:rsidR="009A3BC3">
        <w:t>” (NR)</w:t>
      </w:r>
    </w:p>
    <w:p w:rsidR="009A3BC3" w:rsidRDefault="009A3BC3" w:rsidP="009A3BC3">
      <w:pPr>
        <w:pStyle w:val="05-Pargrafodetexto-CLG"/>
      </w:pPr>
      <w:r w:rsidRPr="00A34DA2">
        <w:rPr>
          <w:b/>
        </w:rPr>
        <w:t xml:space="preserve">Art. </w:t>
      </w:r>
      <w:r>
        <w:rPr>
          <w:b/>
        </w:rPr>
        <w:t>6</w:t>
      </w:r>
      <w:r w:rsidRPr="00A34DA2">
        <w:rPr>
          <w:b/>
        </w:rPr>
        <w:t>º</w:t>
      </w:r>
      <w:r>
        <w:t xml:space="preserve"> O art. 6º da Lei nº 10.833, de 29 de dezembro de 2003, passa a vigorar com a seguinte redação:</w:t>
      </w:r>
    </w:p>
    <w:p w:rsidR="009A3BC3" w:rsidRPr="00413D13" w:rsidRDefault="009A3BC3" w:rsidP="009A3BC3">
      <w:pPr>
        <w:pStyle w:val="07-Citaolegal-CLG"/>
      </w:pPr>
      <w:r w:rsidRPr="00413D13">
        <w:t>“Art. 6º ..................................................................................</w:t>
      </w:r>
      <w:r w:rsidR="00635C8E">
        <w:t>.</w:t>
      </w:r>
    </w:p>
    <w:p w:rsidR="009A3BC3" w:rsidRPr="00413D13" w:rsidRDefault="009A3BC3" w:rsidP="009A3BC3">
      <w:pPr>
        <w:pStyle w:val="07-Citaolegal-CLG"/>
      </w:pPr>
      <w:r w:rsidRPr="00413D13">
        <w:t>...............................................................................................</w:t>
      </w:r>
    </w:p>
    <w:p w:rsidR="009A3BC3" w:rsidRPr="00413D13" w:rsidRDefault="009A3BC3" w:rsidP="009A3BC3">
      <w:pPr>
        <w:pStyle w:val="07-Citaolegal-CLG"/>
      </w:pPr>
      <w:r w:rsidRPr="00413D13">
        <w:t>IV –</w:t>
      </w:r>
      <w:r>
        <w:t xml:space="preserve"> cessão ou transferência de direitos a pessoa física ou jurídica domiciliada no exterior, inclusive licença de tecnologia, cujo pagamento represente ingresso de divisas.</w:t>
      </w:r>
    </w:p>
    <w:p w:rsidR="00635C8E" w:rsidRDefault="009A3BC3" w:rsidP="009A3BC3">
      <w:pPr>
        <w:pStyle w:val="08-Citaolegal-ltimalinha-CLG"/>
      </w:pPr>
      <w:r>
        <w:t>................................................................................</w:t>
      </w:r>
    </w:p>
    <w:p w:rsidR="00635C8E" w:rsidRDefault="00635C8E" w:rsidP="00635C8E">
      <w:pPr>
        <w:pStyle w:val="08-Citaolegal-ltimalinha-CLG"/>
      </w:pPr>
      <w:r>
        <w:t xml:space="preserve">§ 5º O disposto no inciso IV do </w:t>
      </w:r>
      <w:r w:rsidRPr="00635C8E">
        <w:rPr>
          <w:i/>
        </w:rPr>
        <w:t>caput</w:t>
      </w:r>
      <w:r>
        <w:t xml:space="preserve"> não se aplica no caso de cessão ou transferência de direitos a pessoa física ou jurídica domiciliada em país com tributação favorecida ou beneficiária de regime fiscal privilegiado, nos termos dos arts. 24 e 24-A da Lei nº 9.430, de 27 de dezembro de 1996.” (NR)</w:t>
      </w:r>
    </w:p>
    <w:p w:rsidR="009A3BC3" w:rsidRDefault="009A3BC3" w:rsidP="009A3BC3">
      <w:pPr>
        <w:pStyle w:val="05-Pargrafodetexto-CLG"/>
      </w:pPr>
      <w:r w:rsidRPr="00A34DA2">
        <w:rPr>
          <w:b/>
        </w:rPr>
        <w:t xml:space="preserve">Art. </w:t>
      </w:r>
      <w:r w:rsidR="0038192C">
        <w:rPr>
          <w:b/>
        </w:rPr>
        <w:t>7</w:t>
      </w:r>
      <w:r w:rsidRPr="00A34DA2">
        <w:rPr>
          <w:b/>
        </w:rPr>
        <w:t>º</w:t>
      </w:r>
      <w:r>
        <w:t xml:space="preserve"> A Lei </w:t>
      </w:r>
      <w:r w:rsidR="00D17C43">
        <w:t xml:space="preserve">nº </w:t>
      </w:r>
      <w:r>
        <w:t>11.033, de 21 de dezembro</w:t>
      </w:r>
      <w:r w:rsidR="00710885">
        <w:t xml:space="preserve"> de 2004, passa a vigorar com a</w:t>
      </w:r>
      <w:r>
        <w:t xml:space="preserve"> seguinte alteraç</w:t>
      </w:r>
      <w:r w:rsidR="005D0F9C">
        <w:t>ão</w:t>
      </w:r>
      <w:r>
        <w:t>:</w:t>
      </w:r>
    </w:p>
    <w:p w:rsidR="009A3BC3" w:rsidRPr="00BB39FB" w:rsidRDefault="009A3BC3" w:rsidP="009A3BC3">
      <w:pPr>
        <w:pStyle w:val="08-Citaolegal-ltimalinha-CLG"/>
      </w:pPr>
      <w:r>
        <w:t>“Art. 16. Os beneficiários do Reporto descritos no art. 15 desta Lei ficam acrescidos das empresas de dragagem, definidas na Lei nº 12.815, de 5 de junho de 2013 (Lei dos Portos), dos recintos alfandegados de zona secundária e dos centros de formação profissional e treinamento multifuncional de que trata o art. 33 da Lei nº 12.815, de 2013, e poderão efetuar aquisições e importações amparadas pelo Reporto até 31 de dezembro de 2020.” (NR)</w:t>
      </w:r>
    </w:p>
    <w:p w:rsidR="009A3BC3" w:rsidRDefault="009A3BC3" w:rsidP="00B82C5C">
      <w:pPr>
        <w:pStyle w:val="05-Pargrafodetexto-CLG"/>
        <w:spacing w:after="120"/>
      </w:pPr>
      <w:r>
        <w:rPr>
          <w:b/>
        </w:rPr>
        <w:t xml:space="preserve">Art. </w:t>
      </w:r>
      <w:r w:rsidR="0038192C">
        <w:rPr>
          <w:b/>
        </w:rPr>
        <w:t>8</w:t>
      </w:r>
      <w:r>
        <w:rPr>
          <w:b/>
        </w:rPr>
        <w:t xml:space="preserve">º </w:t>
      </w:r>
      <w:r w:rsidR="00CF2FCB" w:rsidRPr="00CF2FCB">
        <w:t>Ficam reduzidas a zero as alíquotas da Contribuição para o PIS/P</w:t>
      </w:r>
      <w:r w:rsidR="00CF2FCB">
        <w:t>asep</w:t>
      </w:r>
      <w:r w:rsidR="00CF2FCB" w:rsidRPr="00CF2FCB">
        <w:t xml:space="preserve"> e da Contribuição para o Financiamento da Seguridade Social </w:t>
      </w:r>
      <w:r w:rsidR="00CF2FCB">
        <w:t>(</w:t>
      </w:r>
      <w:r w:rsidR="00CF2FCB" w:rsidRPr="00CF2FCB">
        <w:t>COFINS</w:t>
      </w:r>
      <w:r w:rsidR="00CF2FCB">
        <w:t>)</w:t>
      </w:r>
      <w:r w:rsidR="00CF2FCB" w:rsidRPr="00CF2FCB">
        <w:t xml:space="preserve"> incidentes sobre a energia elétrica ativa fornecida pela distribuidora à unidade consumidora, na quantidade correspondente à soma da energia elétrica ativa injetada na rede de distribuição pela mesma unidade consumidora com os </w:t>
      </w:r>
      <w:r w:rsidR="00CF2FCB" w:rsidRPr="00CF2FCB">
        <w:lastRenderedPageBreak/>
        <w:t>créditos de energia ativa originados na própria unidade consumidora no mesmo mês, em meses anteriores ou em outra unidade consumidora do mesmo titular, nos termos do Sistema de Compensação de Energia Elétrica para microgeração e minigeração distribuída, conforme regulamentação da ANEEL.</w:t>
      </w:r>
    </w:p>
    <w:p w:rsidR="00CF2FCB" w:rsidRPr="008F4E9E" w:rsidRDefault="00CF2FCB" w:rsidP="00215340">
      <w:pPr>
        <w:pStyle w:val="05-Pargrafodetexto-CLG"/>
      </w:pPr>
      <w:r>
        <w:rPr>
          <w:b/>
        </w:rPr>
        <w:t xml:space="preserve">Art. 9º </w:t>
      </w:r>
      <w:r w:rsidRPr="00CF2FCB">
        <w:t xml:space="preserve">Ficam </w:t>
      </w:r>
      <w:r w:rsidRPr="008F4E9E">
        <w:t xml:space="preserve">reduzidas a zero, por um prazo de 5 </w:t>
      </w:r>
      <w:r w:rsidR="00E36EAC">
        <w:t xml:space="preserve">(cinco) </w:t>
      </w:r>
      <w:r w:rsidRPr="008F4E9E">
        <w:t>anos, as alíquotas da Contribuição para o PIS/PASEP, d</w:t>
      </w:r>
      <w:r w:rsidR="00E36EAC">
        <w:t>e</w:t>
      </w:r>
      <w:r w:rsidRPr="008F4E9E">
        <w:t xml:space="preserve"> PIS/Pasep-Importação, da Contribuição para o Financiamento da Seguridade Social – COFINS e da Cofins-Importação incidentes sobre os produtos a seguir indicados e respectivas classificações na </w:t>
      </w:r>
      <w:r w:rsidRPr="002568B1">
        <w:t>Nomenclatura</w:t>
      </w:r>
      <w:r w:rsidRPr="008F4E9E">
        <w:t xml:space="preserve"> </w:t>
      </w:r>
      <w:r w:rsidR="002568B1">
        <w:t>Comum do Mercosul</w:t>
      </w:r>
      <w:r w:rsidRPr="008F4E9E">
        <w:t>, utilizados exclusiva ou principalmente para fabricação de itens na microgeração e minigeração distribuída, conforme regulamentação da ANEEL:</w:t>
      </w:r>
    </w:p>
    <w:p w:rsidR="00CF2FCB" w:rsidRPr="008F4E9E" w:rsidRDefault="001F50C3" w:rsidP="00B82C5C">
      <w:pPr>
        <w:pStyle w:val="A5-1TextoAcordo"/>
        <w:rPr>
          <w:rFonts w:ascii="Times New Roman" w:eastAsia="Calibri" w:hAnsi="Times New Roman" w:cs="Times New Roman"/>
          <w:sz w:val="24"/>
          <w:szCs w:val="24"/>
          <w:lang w:eastAsia="en-US"/>
        </w:rPr>
      </w:pPr>
      <w:r w:rsidRPr="008F4E9E">
        <w:rPr>
          <w:rFonts w:ascii="Times New Roman" w:hAnsi="Times New Roman" w:cs="Times New Roman"/>
          <w:sz w:val="24"/>
          <w:szCs w:val="24"/>
        </w:rPr>
        <w:fldChar w:fldCharType="begin"/>
      </w:r>
      <w:r w:rsidR="00CF2FCB" w:rsidRPr="008F4E9E">
        <w:rPr>
          <w:rFonts w:ascii="Times New Roman" w:hAnsi="Times New Roman" w:cs="Times New Roman"/>
          <w:sz w:val="24"/>
          <w:szCs w:val="24"/>
        </w:rPr>
        <w:instrText xml:space="preserve"> LINK Excel.Sheet.12 Pasta1 Plan1!L1C1:L36C4 \a \f 4 \h  \* MERGEFORMAT </w:instrText>
      </w:r>
      <w:r w:rsidRPr="008F4E9E">
        <w:rPr>
          <w:rFonts w:ascii="Times New Roman" w:hAnsi="Times New Roman" w:cs="Times New Roman"/>
          <w:sz w:val="24"/>
          <w:szCs w:val="24"/>
        </w:rPr>
        <w:fldChar w:fldCharType="separate"/>
      </w:r>
    </w:p>
    <w:tbl>
      <w:tblPr>
        <w:tblW w:w="9087" w:type="dxa"/>
        <w:tblInd w:w="55" w:type="dxa"/>
        <w:tblCellMar>
          <w:left w:w="70" w:type="dxa"/>
          <w:right w:w="70" w:type="dxa"/>
        </w:tblCellMar>
        <w:tblLook w:val="04A0"/>
      </w:tblPr>
      <w:tblGrid>
        <w:gridCol w:w="914"/>
        <w:gridCol w:w="220"/>
        <w:gridCol w:w="6678"/>
        <w:gridCol w:w="1287"/>
      </w:tblGrid>
      <w:tr w:rsidR="00CF2FCB" w:rsidRPr="008F4E9E" w:rsidTr="00B82C5C">
        <w:trPr>
          <w:trHeight w:val="300"/>
        </w:trPr>
        <w:tc>
          <w:tcPr>
            <w:tcW w:w="914" w:type="dxa"/>
            <w:shd w:val="clear" w:color="auto" w:fill="auto"/>
            <w:noWrap/>
            <w:hideMark/>
          </w:tcPr>
          <w:p w:rsidR="00CF2FCB" w:rsidRPr="008F4E9E" w:rsidRDefault="00CF2FCB" w:rsidP="00B82C5C">
            <w:pPr>
              <w:rPr>
                <w:color w:val="000000"/>
              </w:rPr>
            </w:pPr>
            <w:r w:rsidRPr="008F4E9E">
              <w:rPr>
                <w:color w:val="000000"/>
              </w:rPr>
              <w:t>I</w:t>
            </w:r>
          </w:p>
        </w:tc>
        <w:tc>
          <w:tcPr>
            <w:tcW w:w="220" w:type="dxa"/>
            <w:shd w:val="clear" w:color="auto" w:fill="auto"/>
            <w:noWrap/>
            <w:hideMark/>
          </w:tcPr>
          <w:p w:rsidR="00CF2FCB" w:rsidRPr="008F4E9E" w:rsidRDefault="00CF2FCB" w:rsidP="00B82C5C">
            <w:pPr>
              <w:jc w:val="center"/>
              <w:rPr>
                <w:color w:val="000000"/>
              </w:rPr>
            </w:pPr>
            <w:r w:rsidRPr="008F4E9E">
              <w:rPr>
                <w:color w:val="000000"/>
              </w:rPr>
              <w:t>-</w:t>
            </w:r>
          </w:p>
        </w:tc>
        <w:tc>
          <w:tcPr>
            <w:tcW w:w="6678" w:type="dxa"/>
            <w:shd w:val="clear" w:color="000000" w:fill="FFFFFF"/>
            <w:noWrap/>
            <w:vAlign w:val="bottom"/>
            <w:hideMark/>
          </w:tcPr>
          <w:p w:rsidR="00CF2FCB" w:rsidRPr="008F4E9E" w:rsidRDefault="00CF2FCB" w:rsidP="00B82C5C">
            <w:r w:rsidRPr="008F4E9E">
              <w:t xml:space="preserve">Estrutura de suporte - Outras chapas, folhas, tiras, películas de </w:t>
            </w:r>
            <w:proofErr w:type="gramStart"/>
            <w:r w:rsidRPr="008F4E9E">
              <w:t>plástico</w:t>
            </w:r>
            <w:proofErr w:type="gramEnd"/>
          </w:p>
        </w:tc>
        <w:tc>
          <w:tcPr>
            <w:tcW w:w="1275" w:type="dxa"/>
            <w:shd w:val="clear" w:color="000000" w:fill="FFFFFF"/>
            <w:noWrap/>
            <w:vAlign w:val="center"/>
            <w:hideMark/>
          </w:tcPr>
          <w:p w:rsidR="00CF2FCB" w:rsidRPr="008F4E9E" w:rsidRDefault="00CF2FCB" w:rsidP="00B82C5C">
            <w:pPr>
              <w:jc w:val="center"/>
            </w:pPr>
            <w:r w:rsidRPr="008F4E9E">
              <w:t>3919.90.00;</w:t>
            </w:r>
          </w:p>
        </w:tc>
      </w:tr>
      <w:tr w:rsidR="00CF2FCB" w:rsidRPr="008F4E9E" w:rsidTr="00B82C5C">
        <w:trPr>
          <w:trHeight w:val="300"/>
        </w:trPr>
        <w:tc>
          <w:tcPr>
            <w:tcW w:w="914" w:type="dxa"/>
            <w:shd w:val="clear" w:color="auto" w:fill="auto"/>
            <w:noWrap/>
            <w:hideMark/>
          </w:tcPr>
          <w:p w:rsidR="00CF2FCB" w:rsidRPr="008F4E9E" w:rsidRDefault="00CF2FCB" w:rsidP="00B82C5C">
            <w:pPr>
              <w:rPr>
                <w:color w:val="000000"/>
              </w:rPr>
            </w:pPr>
            <w:r w:rsidRPr="008F4E9E">
              <w:rPr>
                <w:color w:val="000000"/>
              </w:rPr>
              <w:t>II</w:t>
            </w:r>
          </w:p>
        </w:tc>
        <w:tc>
          <w:tcPr>
            <w:tcW w:w="220" w:type="dxa"/>
            <w:shd w:val="clear" w:color="auto" w:fill="auto"/>
            <w:noWrap/>
            <w:hideMark/>
          </w:tcPr>
          <w:p w:rsidR="00CF2FCB" w:rsidRPr="008F4E9E" w:rsidRDefault="00CF2FCB" w:rsidP="00B82C5C">
            <w:pPr>
              <w:jc w:val="center"/>
              <w:rPr>
                <w:color w:val="000000"/>
              </w:rPr>
            </w:pPr>
            <w:r w:rsidRPr="008F4E9E">
              <w:rPr>
                <w:color w:val="000000"/>
              </w:rPr>
              <w:t>-</w:t>
            </w:r>
          </w:p>
        </w:tc>
        <w:tc>
          <w:tcPr>
            <w:tcW w:w="6678" w:type="dxa"/>
            <w:shd w:val="clear" w:color="000000" w:fill="FFFFFF"/>
            <w:noWrap/>
            <w:vAlign w:val="bottom"/>
            <w:hideMark/>
          </w:tcPr>
          <w:p w:rsidR="00CF2FCB" w:rsidRPr="008F4E9E" w:rsidRDefault="00CF2FCB" w:rsidP="00B82C5C">
            <w:r w:rsidRPr="008F4E9E">
              <w:t>Outras obras de plástico - Bucha plástica</w:t>
            </w:r>
          </w:p>
        </w:tc>
        <w:tc>
          <w:tcPr>
            <w:tcW w:w="1275" w:type="dxa"/>
            <w:shd w:val="clear" w:color="000000" w:fill="FFFFFF"/>
            <w:noWrap/>
            <w:vAlign w:val="center"/>
            <w:hideMark/>
          </w:tcPr>
          <w:p w:rsidR="00CF2FCB" w:rsidRPr="008F4E9E" w:rsidRDefault="00CF2FCB" w:rsidP="00B82C5C">
            <w:pPr>
              <w:jc w:val="center"/>
            </w:pPr>
            <w:r w:rsidRPr="008F4E9E">
              <w:t>3926.90.90;</w:t>
            </w:r>
          </w:p>
        </w:tc>
      </w:tr>
      <w:tr w:rsidR="00CF2FCB" w:rsidRPr="008F4E9E" w:rsidTr="00B82C5C">
        <w:trPr>
          <w:trHeight w:val="300"/>
        </w:trPr>
        <w:tc>
          <w:tcPr>
            <w:tcW w:w="914" w:type="dxa"/>
            <w:shd w:val="clear" w:color="auto" w:fill="auto"/>
            <w:noWrap/>
            <w:hideMark/>
          </w:tcPr>
          <w:p w:rsidR="00CF2FCB" w:rsidRPr="008F4E9E" w:rsidRDefault="00CF2FCB" w:rsidP="00B82C5C">
            <w:pPr>
              <w:rPr>
                <w:color w:val="000000"/>
              </w:rPr>
            </w:pPr>
            <w:r w:rsidRPr="008F4E9E">
              <w:rPr>
                <w:color w:val="000000"/>
              </w:rPr>
              <w:t>III</w:t>
            </w:r>
          </w:p>
        </w:tc>
        <w:tc>
          <w:tcPr>
            <w:tcW w:w="220" w:type="dxa"/>
            <w:shd w:val="clear" w:color="auto" w:fill="auto"/>
            <w:noWrap/>
            <w:hideMark/>
          </w:tcPr>
          <w:p w:rsidR="00CF2FCB" w:rsidRPr="008F4E9E" w:rsidRDefault="00CF2FCB" w:rsidP="00B82C5C">
            <w:pPr>
              <w:jc w:val="center"/>
              <w:rPr>
                <w:color w:val="000000"/>
              </w:rPr>
            </w:pPr>
            <w:r w:rsidRPr="008F4E9E">
              <w:rPr>
                <w:color w:val="000000"/>
              </w:rPr>
              <w:t>-</w:t>
            </w:r>
          </w:p>
        </w:tc>
        <w:tc>
          <w:tcPr>
            <w:tcW w:w="6678" w:type="dxa"/>
            <w:shd w:val="clear" w:color="000000" w:fill="FFFFFF"/>
            <w:noWrap/>
            <w:vAlign w:val="bottom"/>
            <w:hideMark/>
          </w:tcPr>
          <w:p w:rsidR="00CF2FCB" w:rsidRPr="008F4E9E" w:rsidRDefault="00CF2FCB" w:rsidP="00B82C5C">
            <w:r w:rsidRPr="008F4E9E">
              <w:t>Estrutura de suporte fixa em aço</w:t>
            </w:r>
          </w:p>
        </w:tc>
        <w:tc>
          <w:tcPr>
            <w:tcW w:w="1275" w:type="dxa"/>
            <w:shd w:val="clear" w:color="000000" w:fill="FFFFFF"/>
            <w:noWrap/>
            <w:vAlign w:val="center"/>
            <w:hideMark/>
          </w:tcPr>
          <w:p w:rsidR="00CF2FCB" w:rsidRPr="008F4E9E" w:rsidRDefault="00CF2FCB" w:rsidP="00B82C5C">
            <w:pPr>
              <w:jc w:val="center"/>
            </w:pPr>
            <w:r w:rsidRPr="008F4E9E">
              <w:t>7308.90.10;</w:t>
            </w:r>
          </w:p>
        </w:tc>
      </w:tr>
      <w:tr w:rsidR="00CF2FCB" w:rsidRPr="008F4E9E" w:rsidTr="00B82C5C">
        <w:trPr>
          <w:trHeight w:val="300"/>
        </w:trPr>
        <w:tc>
          <w:tcPr>
            <w:tcW w:w="914" w:type="dxa"/>
            <w:shd w:val="clear" w:color="auto" w:fill="auto"/>
            <w:noWrap/>
            <w:hideMark/>
          </w:tcPr>
          <w:p w:rsidR="00CF2FCB" w:rsidRPr="008F4E9E" w:rsidRDefault="00CF2FCB" w:rsidP="00B82C5C">
            <w:pPr>
              <w:rPr>
                <w:color w:val="000000"/>
              </w:rPr>
            </w:pPr>
            <w:r w:rsidRPr="008F4E9E">
              <w:rPr>
                <w:color w:val="000000"/>
              </w:rPr>
              <w:t>IV</w:t>
            </w:r>
          </w:p>
        </w:tc>
        <w:tc>
          <w:tcPr>
            <w:tcW w:w="220" w:type="dxa"/>
            <w:shd w:val="clear" w:color="auto" w:fill="auto"/>
            <w:noWrap/>
            <w:hideMark/>
          </w:tcPr>
          <w:p w:rsidR="00CF2FCB" w:rsidRPr="008F4E9E" w:rsidRDefault="00CF2FCB" w:rsidP="00B82C5C">
            <w:pPr>
              <w:jc w:val="center"/>
              <w:rPr>
                <w:color w:val="000000"/>
              </w:rPr>
            </w:pPr>
            <w:r w:rsidRPr="008F4E9E">
              <w:rPr>
                <w:color w:val="000000"/>
              </w:rPr>
              <w:t>-</w:t>
            </w:r>
          </w:p>
        </w:tc>
        <w:tc>
          <w:tcPr>
            <w:tcW w:w="6678" w:type="dxa"/>
            <w:shd w:val="clear" w:color="000000" w:fill="FFFFFF"/>
            <w:noWrap/>
            <w:vAlign w:val="bottom"/>
            <w:hideMark/>
          </w:tcPr>
          <w:p w:rsidR="00CF2FCB" w:rsidRPr="008F4E9E" w:rsidRDefault="00CF2FCB" w:rsidP="00B82C5C">
            <w:r w:rsidRPr="008F4E9E">
              <w:t xml:space="preserve">Estrutura de suporte - Outras construções e suas partes, ferro/aço, exceto </w:t>
            </w:r>
            <w:proofErr w:type="gramStart"/>
            <w:r w:rsidRPr="008F4E9E">
              <w:t>94.06</w:t>
            </w:r>
            <w:proofErr w:type="gramEnd"/>
          </w:p>
        </w:tc>
        <w:tc>
          <w:tcPr>
            <w:tcW w:w="1275" w:type="dxa"/>
            <w:shd w:val="clear" w:color="000000" w:fill="FFFFFF"/>
            <w:noWrap/>
            <w:vAlign w:val="center"/>
            <w:hideMark/>
          </w:tcPr>
          <w:p w:rsidR="00CF2FCB" w:rsidRPr="008F4E9E" w:rsidRDefault="00CF2FCB" w:rsidP="00B82C5C">
            <w:pPr>
              <w:jc w:val="center"/>
            </w:pPr>
            <w:r w:rsidRPr="008F4E9E">
              <w:t>7308.90.90;</w:t>
            </w:r>
          </w:p>
        </w:tc>
      </w:tr>
      <w:tr w:rsidR="00CF2FCB" w:rsidRPr="008F4E9E" w:rsidTr="00B82C5C">
        <w:trPr>
          <w:trHeight w:val="300"/>
        </w:trPr>
        <w:tc>
          <w:tcPr>
            <w:tcW w:w="914" w:type="dxa"/>
            <w:shd w:val="clear" w:color="auto" w:fill="auto"/>
            <w:noWrap/>
            <w:hideMark/>
          </w:tcPr>
          <w:p w:rsidR="00CF2FCB" w:rsidRPr="008F4E9E" w:rsidRDefault="00CF2FCB" w:rsidP="00B82C5C">
            <w:pPr>
              <w:rPr>
                <w:color w:val="000000"/>
              </w:rPr>
            </w:pPr>
            <w:r w:rsidRPr="008F4E9E">
              <w:rPr>
                <w:color w:val="000000"/>
              </w:rPr>
              <w:t>V</w:t>
            </w:r>
          </w:p>
        </w:tc>
        <w:tc>
          <w:tcPr>
            <w:tcW w:w="220" w:type="dxa"/>
            <w:shd w:val="clear" w:color="auto" w:fill="auto"/>
            <w:noWrap/>
            <w:hideMark/>
          </w:tcPr>
          <w:p w:rsidR="00CF2FCB" w:rsidRPr="008F4E9E" w:rsidRDefault="00CF2FCB" w:rsidP="00B82C5C">
            <w:pPr>
              <w:jc w:val="center"/>
              <w:rPr>
                <w:color w:val="000000"/>
              </w:rPr>
            </w:pPr>
            <w:r w:rsidRPr="008F4E9E">
              <w:rPr>
                <w:color w:val="000000"/>
              </w:rPr>
              <w:t>-</w:t>
            </w:r>
          </w:p>
        </w:tc>
        <w:tc>
          <w:tcPr>
            <w:tcW w:w="6678" w:type="dxa"/>
            <w:shd w:val="clear" w:color="000000" w:fill="FFFFFF"/>
            <w:noWrap/>
            <w:vAlign w:val="bottom"/>
            <w:hideMark/>
          </w:tcPr>
          <w:p w:rsidR="00CF2FCB" w:rsidRPr="008F4E9E" w:rsidRDefault="00CF2FCB" w:rsidP="00B82C5C">
            <w:r w:rsidRPr="008F4E9E">
              <w:t xml:space="preserve">Estrutura de suporte - Outros parafusos e pinos ou pernos, mesmo com as porcas e </w:t>
            </w:r>
            <w:proofErr w:type="gramStart"/>
            <w:r w:rsidRPr="008F4E9E">
              <w:t>arruelas</w:t>
            </w:r>
            <w:proofErr w:type="gramEnd"/>
          </w:p>
        </w:tc>
        <w:tc>
          <w:tcPr>
            <w:tcW w:w="1275" w:type="dxa"/>
            <w:shd w:val="clear" w:color="000000" w:fill="FFFFFF"/>
            <w:noWrap/>
            <w:vAlign w:val="center"/>
            <w:hideMark/>
          </w:tcPr>
          <w:p w:rsidR="00CF2FCB" w:rsidRPr="008F4E9E" w:rsidRDefault="00CF2FCB" w:rsidP="00B82C5C">
            <w:pPr>
              <w:jc w:val="center"/>
            </w:pPr>
            <w:r w:rsidRPr="008F4E9E">
              <w:t>7318.15.00;</w:t>
            </w:r>
          </w:p>
        </w:tc>
      </w:tr>
      <w:tr w:rsidR="00CF2FCB" w:rsidRPr="008F4E9E" w:rsidTr="00B82C5C">
        <w:trPr>
          <w:trHeight w:val="300"/>
        </w:trPr>
        <w:tc>
          <w:tcPr>
            <w:tcW w:w="914" w:type="dxa"/>
            <w:shd w:val="clear" w:color="auto" w:fill="auto"/>
            <w:noWrap/>
            <w:hideMark/>
          </w:tcPr>
          <w:p w:rsidR="00CF2FCB" w:rsidRPr="008F4E9E" w:rsidRDefault="00CF2FCB" w:rsidP="00B82C5C">
            <w:pPr>
              <w:rPr>
                <w:color w:val="000000"/>
              </w:rPr>
            </w:pPr>
            <w:r w:rsidRPr="008F4E9E">
              <w:rPr>
                <w:color w:val="000000"/>
              </w:rPr>
              <w:t>VI</w:t>
            </w:r>
          </w:p>
        </w:tc>
        <w:tc>
          <w:tcPr>
            <w:tcW w:w="220" w:type="dxa"/>
            <w:shd w:val="clear" w:color="auto" w:fill="auto"/>
            <w:noWrap/>
            <w:hideMark/>
          </w:tcPr>
          <w:p w:rsidR="00CF2FCB" w:rsidRPr="008F4E9E" w:rsidRDefault="00CF2FCB" w:rsidP="00B82C5C">
            <w:pPr>
              <w:jc w:val="center"/>
              <w:rPr>
                <w:color w:val="000000"/>
              </w:rPr>
            </w:pPr>
            <w:r w:rsidRPr="008F4E9E">
              <w:rPr>
                <w:color w:val="000000"/>
              </w:rPr>
              <w:t>-</w:t>
            </w:r>
          </w:p>
        </w:tc>
        <w:tc>
          <w:tcPr>
            <w:tcW w:w="6678" w:type="dxa"/>
            <w:shd w:val="clear" w:color="000000" w:fill="FFFFFF"/>
            <w:noWrap/>
            <w:vAlign w:val="bottom"/>
            <w:hideMark/>
          </w:tcPr>
          <w:p w:rsidR="00CF2FCB" w:rsidRPr="008F4E9E" w:rsidRDefault="00CF2FCB" w:rsidP="00B82C5C">
            <w:proofErr w:type="gramStart"/>
            <w:r w:rsidRPr="008F4E9E">
              <w:t>Estrutura de suporte - Porcas de ferro fundido</w:t>
            </w:r>
            <w:proofErr w:type="gramEnd"/>
            <w:r w:rsidRPr="008F4E9E">
              <w:t>, ferro ou aço</w:t>
            </w:r>
          </w:p>
        </w:tc>
        <w:tc>
          <w:tcPr>
            <w:tcW w:w="1275" w:type="dxa"/>
            <w:shd w:val="clear" w:color="000000" w:fill="FFFFFF"/>
            <w:noWrap/>
            <w:vAlign w:val="center"/>
            <w:hideMark/>
          </w:tcPr>
          <w:p w:rsidR="00CF2FCB" w:rsidRPr="008F4E9E" w:rsidRDefault="00CF2FCB" w:rsidP="00B82C5C">
            <w:pPr>
              <w:jc w:val="center"/>
            </w:pPr>
            <w:r w:rsidRPr="008F4E9E">
              <w:t>7318.16.00;</w:t>
            </w:r>
          </w:p>
        </w:tc>
      </w:tr>
      <w:tr w:rsidR="00CF2FCB" w:rsidRPr="008F4E9E" w:rsidTr="00B82C5C">
        <w:trPr>
          <w:trHeight w:val="300"/>
        </w:trPr>
        <w:tc>
          <w:tcPr>
            <w:tcW w:w="914" w:type="dxa"/>
            <w:shd w:val="clear" w:color="auto" w:fill="auto"/>
            <w:noWrap/>
            <w:hideMark/>
          </w:tcPr>
          <w:p w:rsidR="00CF2FCB" w:rsidRPr="008F4E9E" w:rsidRDefault="00CF2FCB" w:rsidP="00B82C5C">
            <w:pPr>
              <w:rPr>
                <w:color w:val="000000"/>
              </w:rPr>
            </w:pPr>
            <w:r w:rsidRPr="008F4E9E">
              <w:rPr>
                <w:color w:val="000000"/>
              </w:rPr>
              <w:t>VII</w:t>
            </w:r>
          </w:p>
        </w:tc>
        <w:tc>
          <w:tcPr>
            <w:tcW w:w="220" w:type="dxa"/>
            <w:shd w:val="clear" w:color="auto" w:fill="auto"/>
            <w:noWrap/>
            <w:hideMark/>
          </w:tcPr>
          <w:p w:rsidR="00CF2FCB" w:rsidRPr="008F4E9E" w:rsidRDefault="00CF2FCB" w:rsidP="00B82C5C">
            <w:pPr>
              <w:jc w:val="center"/>
              <w:rPr>
                <w:color w:val="000000"/>
              </w:rPr>
            </w:pPr>
            <w:r w:rsidRPr="008F4E9E">
              <w:rPr>
                <w:color w:val="000000"/>
              </w:rPr>
              <w:t>-</w:t>
            </w:r>
          </w:p>
        </w:tc>
        <w:tc>
          <w:tcPr>
            <w:tcW w:w="6678" w:type="dxa"/>
            <w:shd w:val="clear" w:color="000000" w:fill="FFFFFF"/>
            <w:noWrap/>
            <w:vAlign w:val="bottom"/>
            <w:hideMark/>
          </w:tcPr>
          <w:p w:rsidR="00CF2FCB" w:rsidRPr="008F4E9E" w:rsidRDefault="00CF2FCB" w:rsidP="00B82C5C">
            <w:r w:rsidRPr="008F4E9E">
              <w:t>Estrutura de suporte - Arruelas de pressão e outras arruelas de segurança</w:t>
            </w:r>
          </w:p>
        </w:tc>
        <w:tc>
          <w:tcPr>
            <w:tcW w:w="1275" w:type="dxa"/>
            <w:shd w:val="clear" w:color="000000" w:fill="FFFFFF"/>
            <w:noWrap/>
            <w:vAlign w:val="center"/>
            <w:hideMark/>
          </w:tcPr>
          <w:p w:rsidR="00CF2FCB" w:rsidRPr="008F4E9E" w:rsidRDefault="00CF2FCB" w:rsidP="00B82C5C">
            <w:pPr>
              <w:jc w:val="center"/>
            </w:pPr>
            <w:r w:rsidRPr="008F4E9E">
              <w:t>7318.21.00;</w:t>
            </w:r>
          </w:p>
        </w:tc>
      </w:tr>
      <w:tr w:rsidR="00CF2FCB" w:rsidRPr="008F4E9E" w:rsidTr="00B82C5C">
        <w:trPr>
          <w:trHeight w:val="300"/>
        </w:trPr>
        <w:tc>
          <w:tcPr>
            <w:tcW w:w="914" w:type="dxa"/>
            <w:shd w:val="clear" w:color="auto" w:fill="auto"/>
            <w:noWrap/>
            <w:hideMark/>
          </w:tcPr>
          <w:p w:rsidR="00CF2FCB" w:rsidRPr="008F4E9E" w:rsidRDefault="00CF2FCB" w:rsidP="00B82C5C">
            <w:pPr>
              <w:rPr>
                <w:color w:val="000000"/>
              </w:rPr>
            </w:pPr>
            <w:r w:rsidRPr="008F4E9E">
              <w:rPr>
                <w:color w:val="000000"/>
              </w:rPr>
              <w:t>VIII</w:t>
            </w:r>
          </w:p>
        </w:tc>
        <w:tc>
          <w:tcPr>
            <w:tcW w:w="220" w:type="dxa"/>
            <w:shd w:val="clear" w:color="auto" w:fill="auto"/>
            <w:noWrap/>
            <w:hideMark/>
          </w:tcPr>
          <w:p w:rsidR="00CF2FCB" w:rsidRPr="008F4E9E" w:rsidRDefault="00CF2FCB" w:rsidP="00B82C5C">
            <w:pPr>
              <w:jc w:val="center"/>
              <w:rPr>
                <w:color w:val="000000"/>
              </w:rPr>
            </w:pPr>
            <w:r w:rsidRPr="008F4E9E">
              <w:rPr>
                <w:color w:val="000000"/>
              </w:rPr>
              <w:t>-</w:t>
            </w:r>
          </w:p>
        </w:tc>
        <w:tc>
          <w:tcPr>
            <w:tcW w:w="6678" w:type="dxa"/>
            <w:shd w:val="clear" w:color="000000" w:fill="FFFFFF"/>
            <w:noWrap/>
            <w:vAlign w:val="bottom"/>
            <w:hideMark/>
          </w:tcPr>
          <w:p w:rsidR="00CF2FCB" w:rsidRPr="008F4E9E" w:rsidRDefault="00CF2FCB" w:rsidP="00B82C5C">
            <w:r w:rsidRPr="008F4E9E">
              <w:t xml:space="preserve">Outras arruelas ferro fundido, ferro ou </w:t>
            </w:r>
            <w:proofErr w:type="gramStart"/>
            <w:r w:rsidRPr="008F4E9E">
              <w:t>aço</w:t>
            </w:r>
            <w:proofErr w:type="gramEnd"/>
          </w:p>
        </w:tc>
        <w:tc>
          <w:tcPr>
            <w:tcW w:w="1275" w:type="dxa"/>
            <w:shd w:val="clear" w:color="000000" w:fill="FFFFFF"/>
            <w:noWrap/>
            <w:vAlign w:val="center"/>
            <w:hideMark/>
          </w:tcPr>
          <w:p w:rsidR="00CF2FCB" w:rsidRPr="008F4E9E" w:rsidRDefault="00CF2FCB" w:rsidP="00B82C5C">
            <w:pPr>
              <w:jc w:val="center"/>
            </w:pPr>
            <w:r w:rsidRPr="008F4E9E">
              <w:t>7318.22.00;</w:t>
            </w:r>
          </w:p>
        </w:tc>
      </w:tr>
      <w:tr w:rsidR="00CF2FCB" w:rsidRPr="008F4E9E" w:rsidTr="00B82C5C">
        <w:trPr>
          <w:trHeight w:val="300"/>
        </w:trPr>
        <w:tc>
          <w:tcPr>
            <w:tcW w:w="914" w:type="dxa"/>
            <w:shd w:val="clear" w:color="auto" w:fill="auto"/>
            <w:noWrap/>
            <w:hideMark/>
          </w:tcPr>
          <w:p w:rsidR="00CF2FCB" w:rsidRPr="008F4E9E" w:rsidRDefault="00CF2FCB" w:rsidP="00B82C5C">
            <w:pPr>
              <w:rPr>
                <w:color w:val="000000"/>
              </w:rPr>
            </w:pPr>
            <w:r w:rsidRPr="008F4E9E">
              <w:rPr>
                <w:color w:val="000000"/>
              </w:rPr>
              <w:t>IX</w:t>
            </w:r>
          </w:p>
        </w:tc>
        <w:tc>
          <w:tcPr>
            <w:tcW w:w="220" w:type="dxa"/>
            <w:shd w:val="clear" w:color="auto" w:fill="auto"/>
            <w:noWrap/>
            <w:hideMark/>
          </w:tcPr>
          <w:p w:rsidR="00CF2FCB" w:rsidRPr="008F4E9E" w:rsidRDefault="00CF2FCB" w:rsidP="00B82C5C">
            <w:pPr>
              <w:jc w:val="center"/>
              <w:rPr>
                <w:color w:val="000000"/>
              </w:rPr>
            </w:pPr>
            <w:r w:rsidRPr="008F4E9E">
              <w:rPr>
                <w:color w:val="000000"/>
              </w:rPr>
              <w:t>-</w:t>
            </w:r>
          </w:p>
        </w:tc>
        <w:tc>
          <w:tcPr>
            <w:tcW w:w="6678" w:type="dxa"/>
            <w:shd w:val="clear" w:color="000000" w:fill="FFFFFF"/>
            <w:noWrap/>
            <w:vAlign w:val="bottom"/>
            <w:hideMark/>
          </w:tcPr>
          <w:p w:rsidR="00CF2FCB" w:rsidRPr="008F4E9E" w:rsidRDefault="00CF2FCB" w:rsidP="00B82C5C">
            <w:r w:rsidRPr="008F4E9E">
              <w:t xml:space="preserve">Estrutura de suporte - Rebites de ferro fundido, ferro ou </w:t>
            </w:r>
            <w:proofErr w:type="gramStart"/>
            <w:r w:rsidRPr="008F4E9E">
              <w:t>aço</w:t>
            </w:r>
            <w:proofErr w:type="gramEnd"/>
          </w:p>
        </w:tc>
        <w:tc>
          <w:tcPr>
            <w:tcW w:w="1275" w:type="dxa"/>
            <w:shd w:val="clear" w:color="000000" w:fill="FFFFFF"/>
            <w:noWrap/>
            <w:vAlign w:val="center"/>
            <w:hideMark/>
          </w:tcPr>
          <w:p w:rsidR="00CF2FCB" w:rsidRPr="008F4E9E" w:rsidRDefault="00CF2FCB" w:rsidP="00B82C5C">
            <w:pPr>
              <w:jc w:val="center"/>
            </w:pPr>
            <w:r w:rsidRPr="008F4E9E">
              <w:t>7318.23.00;</w:t>
            </w:r>
          </w:p>
        </w:tc>
      </w:tr>
      <w:tr w:rsidR="00CF2FCB" w:rsidRPr="008F4E9E" w:rsidTr="00B82C5C">
        <w:trPr>
          <w:trHeight w:val="300"/>
        </w:trPr>
        <w:tc>
          <w:tcPr>
            <w:tcW w:w="914" w:type="dxa"/>
            <w:shd w:val="clear" w:color="auto" w:fill="auto"/>
            <w:noWrap/>
            <w:hideMark/>
          </w:tcPr>
          <w:p w:rsidR="00CF2FCB" w:rsidRPr="008F4E9E" w:rsidRDefault="00CF2FCB" w:rsidP="00B82C5C">
            <w:pPr>
              <w:rPr>
                <w:color w:val="000000"/>
              </w:rPr>
            </w:pPr>
            <w:r w:rsidRPr="008F4E9E">
              <w:rPr>
                <w:color w:val="000000"/>
              </w:rPr>
              <w:t>X</w:t>
            </w:r>
          </w:p>
        </w:tc>
        <w:tc>
          <w:tcPr>
            <w:tcW w:w="220" w:type="dxa"/>
            <w:shd w:val="clear" w:color="auto" w:fill="auto"/>
            <w:noWrap/>
            <w:hideMark/>
          </w:tcPr>
          <w:p w:rsidR="00CF2FCB" w:rsidRPr="008F4E9E" w:rsidRDefault="00CF2FCB" w:rsidP="00B82C5C">
            <w:pPr>
              <w:jc w:val="center"/>
              <w:rPr>
                <w:color w:val="000000"/>
              </w:rPr>
            </w:pPr>
            <w:r w:rsidRPr="008F4E9E">
              <w:rPr>
                <w:color w:val="000000"/>
              </w:rPr>
              <w:t>-</w:t>
            </w:r>
          </w:p>
        </w:tc>
        <w:tc>
          <w:tcPr>
            <w:tcW w:w="6678" w:type="dxa"/>
            <w:shd w:val="clear" w:color="000000" w:fill="FFFFFF"/>
            <w:noWrap/>
            <w:vAlign w:val="bottom"/>
            <w:hideMark/>
          </w:tcPr>
          <w:p w:rsidR="00CF2FCB" w:rsidRPr="008F4E9E" w:rsidRDefault="00CF2FCB" w:rsidP="00B82C5C">
            <w:r w:rsidRPr="008F4E9E">
              <w:t>Cabos de cobre para uso elétrico</w:t>
            </w:r>
          </w:p>
        </w:tc>
        <w:tc>
          <w:tcPr>
            <w:tcW w:w="1275" w:type="dxa"/>
            <w:shd w:val="clear" w:color="000000" w:fill="FFFFFF"/>
            <w:noWrap/>
            <w:vAlign w:val="center"/>
            <w:hideMark/>
          </w:tcPr>
          <w:p w:rsidR="00CF2FCB" w:rsidRPr="008F4E9E" w:rsidRDefault="00CF2FCB" w:rsidP="00B82C5C">
            <w:pPr>
              <w:jc w:val="center"/>
            </w:pPr>
            <w:r w:rsidRPr="008F4E9E">
              <w:t>7413.00.00;</w:t>
            </w:r>
          </w:p>
        </w:tc>
      </w:tr>
      <w:tr w:rsidR="00CF2FCB" w:rsidRPr="008F4E9E" w:rsidTr="00B82C5C">
        <w:trPr>
          <w:trHeight w:val="300"/>
        </w:trPr>
        <w:tc>
          <w:tcPr>
            <w:tcW w:w="914" w:type="dxa"/>
            <w:shd w:val="clear" w:color="auto" w:fill="auto"/>
            <w:noWrap/>
            <w:hideMark/>
          </w:tcPr>
          <w:p w:rsidR="00CF2FCB" w:rsidRPr="008F4E9E" w:rsidRDefault="00CF2FCB" w:rsidP="00B82C5C">
            <w:pPr>
              <w:rPr>
                <w:color w:val="000000"/>
              </w:rPr>
            </w:pPr>
            <w:r w:rsidRPr="008F4E9E">
              <w:rPr>
                <w:color w:val="000000"/>
              </w:rPr>
              <w:t>XI</w:t>
            </w:r>
          </w:p>
        </w:tc>
        <w:tc>
          <w:tcPr>
            <w:tcW w:w="220" w:type="dxa"/>
            <w:shd w:val="clear" w:color="auto" w:fill="auto"/>
            <w:noWrap/>
            <w:hideMark/>
          </w:tcPr>
          <w:p w:rsidR="00CF2FCB" w:rsidRPr="008F4E9E" w:rsidRDefault="00CF2FCB" w:rsidP="00B82C5C">
            <w:pPr>
              <w:jc w:val="center"/>
              <w:rPr>
                <w:color w:val="000000"/>
              </w:rPr>
            </w:pPr>
            <w:r w:rsidRPr="008F4E9E">
              <w:rPr>
                <w:color w:val="000000"/>
              </w:rPr>
              <w:t>-</w:t>
            </w:r>
          </w:p>
        </w:tc>
        <w:tc>
          <w:tcPr>
            <w:tcW w:w="6678" w:type="dxa"/>
            <w:shd w:val="clear" w:color="000000" w:fill="FFFFFF"/>
            <w:noWrap/>
            <w:vAlign w:val="bottom"/>
            <w:hideMark/>
          </w:tcPr>
          <w:p w:rsidR="00CF2FCB" w:rsidRPr="008F4E9E" w:rsidRDefault="00CF2FCB" w:rsidP="00B82C5C">
            <w:r w:rsidRPr="008F4E9E">
              <w:t>Estruturas de suporte - Barras e perfis de alumínio</w:t>
            </w:r>
          </w:p>
        </w:tc>
        <w:tc>
          <w:tcPr>
            <w:tcW w:w="1275" w:type="dxa"/>
            <w:shd w:val="clear" w:color="000000" w:fill="FFFFFF"/>
            <w:noWrap/>
            <w:vAlign w:val="center"/>
            <w:hideMark/>
          </w:tcPr>
          <w:p w:rsidR="00CF2FCB" w:rsidRPr="008F4E9E" w:rsidRDefault="00CF2FCB" w:rsidP="00B82C5C">
            <w:pPr>
              <w:jc w:val="center"/>
            </w:pPr>
            <w:r w:rsidRPr="008F4E9E">
              <w:t>7604.21.00;</w:t>
            </w:r>
          </w:p>
        </w:tc>
      </w:tr>
      <w:tr w:rsidR="00CF2FCB" w:rsidRPr="008F4E9E" w:rsidTr="00B82C5C">
        <w:trPr>
          <w:trHeight w:val="300"/>
        </w:trPr>
        <w:tc>
          <w:tcPr>
            <w:tcW w:w="914" w:type="dxa"/>
            <w:shd w:val="clear" w:color="auto" w:fill="auto"/>
            <w:noWrap/>
            <w:hideMark/>
          </w:tcPr>
          <w:p w:rsidR="00CF2FCB" w:rsidRPr="008F4E9E" w:rsidRDefault="00CF2FCB" w:rsidP="00B82C5C">
            <w:pPr>
              <w:rPr>
                <w:color w:val="000000"/>
              </w:rPr>
            </w:pPr>
            <w:r w:rsidRPr="008F4E9E">
              <w:rPr>
                <w:color w:val="000000"/>
              </w:rPr>
              <w:t>XII</w:t>
            </w:r>
          </w:p>
        </w:tc>
        <w:tc>
          <w:tcPr>
            <w:tcW w:w="220" w:type="dxa"/>
            <w:shd w:val="clear" w:color="auto" w:fill="auto"/>
            <w:noWrap/>
            <w:hideMark/>
          </w:tcPr>
          <w:p w:rsidR="00CF2FCB" w:rsidRPr="008F4E9E" w:rsidRDefault="00CF2FCB" w:rsidP="00B82C5C">
            <w:pPr>
              <w:jc w:val="center"/>
              <w:rPr>
                <w:color w:val="000000"/>
              </w:rPr>
            </w:pPr>
            <w:r w:rsidRPr="008F4E9E">
              <w:rPr>
                <w:color w:val="000000"/>
              </w:rPr>
              <w:t>-</w:t>
            </w:r>
          </w:p>
        </w:tc>
        <w:tc>
          <w:tcPr>
            <w:tcW w:w="6678" w:type="dxa"/>
            <w:shd w:val="clear" w:color="000000" w:fill="FFFFFF"/>
            <w:noWrap/>
            <w:vAlign w:val="bottom"/>
            <w:hideMark/>
          </w:tcPr>
          <w:p w:rsidR="00CF2FCB" w:rsidRPr="008F4E9E" w:rsidRDefault="00CF2FCB" w:rsidP="00B82C5C">
            <w:r w:rsidRPr="008F4E9E">
              <w:t>Estrutura de suporte fixa em alumínio</w:t>
            </w:r>
          </w:p>
        </w:tc>
        <w:tc>
          <w:tcPr>
            <w:tcW w:w="1275" w:type="dxa"/>
            <w:shd w:val="clear" w:color="000000" w:fill="FFFFFF"/>
            <w:noWrap/>
            <w:vAlign w:val="center"/>
            <w:hideMark/>
          </w:tcPr>
          <w:p w:rsidR="00CF2FCB" w:rsidRPr="008F4E9E" w:rsidRDefault="00CF2FCB" w:rsidP="00B82C5C">
            <w:pPr>
              <w:jc w:val="center"/>
            </w:pPr>
            <w:r w:rsidRPr="008F4E9E">
              <w:t>7606.12.90;</w:t>
            </w:r>
          </w:p>
        </w:tc>
      </w:tr>
      <w:tr w:rsidR="00CF2FCB" w:rsidRPr="008F4E9E" w:rsidTr="00B82C5C">
        <w:trPr>
          <w:trHeight w:val="300"/>
        </w:trPr>
        <w:tc>
          <w:tcPr>
            <w:tcW w:w="914" w:type="dxa"/>
            <w:shd w:val="clear" w:color="auto" w:fill="auto"/>
            <w:noWrap/>
            <w:hideMark/>
          </w:tcPr>
          <w:p w:rsidR="00CF2FCB" w:rsidRPr="008F4E9E" w:rsidRDefault="00CF2FCB" w:rsidP="00B82C5C">
            <w:pPr>
              <w:rPr>
                <w:color w:val="000000"/>
              </w:rPr>
            </w:pPr>
            <w:r w:rsidRPr="008F4E9E">
              <w:rPr>
                <w:color w:val="000000"/>
              </w:rPr>
              <w:t>XIII</w:t>
            </w:r>
          </w:p>
        </w:tc>
        <w:tc>
          <w:tcPr>
            <w:tcW w:w="220" w:type="dxa"/>
            <w:shd w:val="clear" w:color="auto" w:fill="auto"/>
            <w:noWrap/>
            <w:hideMark/>
          </w:tcPr>
          <w:p w:rsidR="00CF2FCB" w:rsidRPr="008F4E9E" w:rsidRDefault="00CF2FCB" w:rsidP="00B82C5C">
            <w:pPr>
              <w:jc w:val="center"/>
              <w:rPr>
                <w:color w:val="000000"/>
              </w:rPr>
            </w:pPr>
            <w:r w:rsidRPr="008F4E9E">
              <w:rPr>
                <w:color w:val="000000"/>
              </w:rPr>
              <w:t>-</w:t>
            </w:r>
          </w:p>
        </w:tc>
        <w:tc>
          <w:tcPr>
            <w:tcW w:w="6678" w:type="dxa"/>
            <w:shd w:val="clear" w:color="000000" w:fill="FFFFFF"/>
            <w:noWrap/>
            <w:vAlign w:val="bottom"/>
            <w:hideMark/>
          </w:tcPr>
          <w:p w:rsidR="00CF2FCB" w:rsidRPr="008F4E9E" w:rsidRDefault="00CF2FCB" w:rsidP="00B82C5C">
            <w:r w:rsidRPr="008F4E9E">
              <w:t xml:space="preserve">Estrutura de suporte - Outras construções e suas partes, alumínio, exceto </w:t>
            </w:r>
            <w:proofErr w:type="gramStart"/>
            <w:r w:rsidRPr="008F4E9E">
              <w:t>94.06</w:t>
            </w:r>
            <w:proofErr w:type="gramEnd"/>
          </w:p>
        </w:tc>
        <w:tc>
          <w:tcPr>
            <w:tcW w:w="1275" w:type="dxa"/>
            <w:shd w:val="clear" w:color="000000" w:fill="FFFFFF"/>
            <w:noWrap/>
            <w:vAlign w:val="center"/>
            <w:hideMark/>
          </w:tcPr>
          <w:p w:rsidR="00CF2FCB" w:rsidRPr="008F4E9E" w:rsidRDefault="00CF2FCB" w:rsidP="00B82C5C">
            <w:pPr>
              <w:jc w:val="center"/>
            </w:pPr>
            <w:r w:rsidRPr="008F4E9E">
              <w:t>7610.90.00;</w:t>
            </w:r>
          </w:p>
        </w:tc>
      </w:tr>
      <w:tr w:rsidR="00CF2FCB" w:rsidRPr="008F4E9E" w:rsidTr="00B82C5C">
        <w:trPr>
          <w:trHeight w:val="300"/>
        </w:trPr>
        <w:tc>
          <w:tcPr>
            <w:tcW w:w="914" w:type="dxa"/>
            <w:shd w:val="clear" w:color="auto" w:fill="auto"/>
            <w:noWrap/>
            <w:hideMark/>
          </w:tcPr>
          <w:p w:rsidR="00CF2FCB" w:rsidRPr="008F4E9E" w:rsidRDefault="00CF2FCB" w:rsidP="00B82C5C">
            <w:pPr>
              <w:rPr>
                <w:color w:val="000000"/>
              </w:rPr>
            </w:pPr>
            <w:r w:rsidRPr="008F4E9E">
              <w:rPr>
                <w:color w:val="000000"/>
              </w:rPr>
              <w:t>XIV</w:t>
            </w:r>
          </w:p>
        </w:tc>
        <w:tc>
          <w:tcPr>
            <w:tcW w:w="220" w:type="dxa"/>
            <w:shd w:val="clear" w:color="auto" w:fill="auto"/>
            <w:noWrap/>
            <w:hideMark/>
          </w:tcPr>
          <w:p w:rsidR="00CF2FCB" w:rsidRPr="008F4E9E" w:rsidRDefault="00CF2FCB" w:rsidP="00B82C5C">
            <w:pPr>
              <w:jc w:val="center"/>
              <w:rPr>
                <w:color w:val="000000"/>
              </w:rPr>
            </w:pPr>
            <w:r w:rsidRPr="008F4E9E">
              <w:rPr>
                <w:color w:val="000000"/>
              </w:rPr>
              <w:t>-</w:t>
            </w:r>
          </w:p>
        </w:tc>
        <w:tc>
          <w:tcPr>
            <w:tcW w:w="6678" w:type="dxa"/>
            <w:shd w:val="clear" w:color="000000" w:fill="FFFFFF"/>
            <w:noWrap/>
            <w:vAlign w:val="bottom"/>
            <w:hideMark/>
          </w:tcPr>
          <w:p w:rsidR="00CF2FCB" w:rsidRPr="008F4E9E" w:rsidRDefault="00CF2FCB" w:rsidP="00B82C5C">
            <w:r w:rsidRPr="008F4E9E">
              <w:t xml:space="preserve">String </w:t>
            </w:r>
            <w:proofErr w:type="spellStart"/>
            <w:proofErr w:type="gramStart"/>
            <w:r w:rsidRPr="008F4E9E">
              <w:t>box</w:t>
            </w:r>
            <w:proofErr w:type="spellEnd"/>
            <w:proofErr w:type="gramEnd"/>
            <w:r w:rsidRPr="008F4E9E">
              <w:t xml:space="preserve"> e data </w:t>
            </w:r>
            <w:proofErr w:type="spellStart"/>
            <w:r w:rsidRPr="008F4E9E">
              <w:t>logger</w:t>
            </w:r>
            <w:proofErr w:type="spellEnd"/>
            <w:r w:rsidRPr="008F4E9E">
              <w:t xml:space="preserve"> - Outros aparelhos</w:t>
            </w:r>
            <w:r w:rsidR="00566008">
              <w:t xml:space="preserve"> </w:t>
            </w:r>
            <w:r w:rsidRPr="008F4E9E">
              <w:t>e instrumentos mecânicos, e suas partes</w:t>
            </w:r>
          </w:p>
        </w:tc>
        <w:tc>
          <w:tcPr>
            <w:tcW w:w="1275" w:type="dxa"/>
            <w:shd w:val="clear" w:color="000000" w:fill="FFFFFF"/>
            <w:noWrap/>
            <w:vAlign w:val="center"/>
            <w:hideMark/>
          </w:tcPr>
          <w:p w:rsidR="00CF2FCB" w:rsidRPr="008F4E9E" w:rsidRDefault="00CF2FCB" w:rsidP="00B82C5C">
            <w:pPr>
              <w:jc w:val="center"/>
            </w:pPr>
            <w:r w:rsidRPr="008F4E9E">
              <w:t>8404.90.90;</w:t>
            </w:r>
          </w:p>
        </w:tc>
      </w:tr>
      <w:tr w:rsidR="00CF2FCB" w:rsidRPr="008F4E9E" w:rsidTr="00B82C5C">
        <w:trPr>
          <w:trHeight w:val="300"/>
        </w:trPr>
        <w:tc>
          <w:tcPr>
            <w:tcW w:w="914" w:type="dxa"/>
            <w:shd w:val="clear" w:color="auto" w:fill="auto"/>
            <w:noWrap/>
            <w:hideMark/>
          </w:tcPr>
          <w:p w:rsidR="00CF2FCB" w:rsidRPr="008F4E9E" w:rsidRDefault="00CF2FCB" w:rsidP="00B82C5C">
            <w:pPr>
              <w:rPr>
                <w:color w:val="000000"/>
              </w:rPr>
            </w:pPr>
            <w:r w:rsidRPr="008F4E9E">
              <w:rPr>
                <w:color w:val="000000"/>
              </w:rPr>
              <w:t>XV</w:t>
            </w:r>
          </w:p>
        </w:tc>
        <w:tc>
          <w:tcPr>
            <w:tcW w:w="220" w:type="dxa"/>
            <w:shd w:val="clear" w:color="auto" w:fill="auto"/>
            <w:noWrap/>
            <w:hideMark/>
          </w:tcPr>
          <w:p w:rsidR="00CF2FCB" w:rsidRPr="008F4E9E" w:rsidRDefault="00CF2FCB" w:rsidP="00B82C5C">
            <w:pPr>
              <w:jc w:val="center"/>
              <w:rPr>
                <w:color w:val="000000"/>
              </w:rPr>
            </w:pPr>
            <w:r w:rsidRPr="008F4E9E">
              <w:rPr>
                <w:color w:val="000000"/>
              </w:rPr>
              <w:t>-</w:t>
            </w:r>
          </w:p>
        </w:tc>
        <w:tc>
          <w:tcPr>
            <w:tcW w:w="6678" w:type="dxa"/>
            <w:shd w:val="clear" w:color="000000" w:fill="FFFFFF"/>
            <w:noWrap/>
            <w:vAlign w:val="bottom"/>
            <w:hideMark/>
          </w:tcPr>
          <w:p w:rsidR="00CF2FCB" w:rsidRPr="008F4E9E" w:rsidRDefault="00CF2FCB" w:rsidP="00B82C5C">
            <w:r w:rsidRPr="008F4E9E">
              <w:t xml:space="preserve">Bomba para líquidos, para uso em sistema de energia solar fotovoltaico em corrente </w:t>
            </w:r>
            <w:proofErr w:type="gramStart"/>
            <w:r w:rsidRPr="008F4E9E">
              <w:t>contínua</w:t>
            </w:r>
            <w:proofErr w:type="gramEnd"/>
          </w:p>
        </w:tc>
        <w:tc>
          <w:tcPr>
            <w:tcW w:w="1275" w:type="dxa"/>
            <w:shd w:val="clear" w:color="000000" w:fill="FFFFFF"/>
            <w:noWrap/>
            <w:vAlign w:val="center"/>
            <w:hideMark/>
          </w:tcPr>
          <w:p w:rsidR="00CF2FCB" w:rsidRPr="008F4E9E" w:rsidRDefault="00CF2FCB" w:rsidP="00B82C5C">
            <w:pPr>
              <w:jc w:val="center"/>
            </w:pPr>
            <w:r w:rsidRPr="008F4E9E">
              <w:t>8413.81.00;</w:t>
            </w:r>
          </w:p>
        </w:tc>
      </w:tr>
      <w:tr w:rsidR="00CF2FCB" w:rsidRPr="008F4E9E" w:rsidTr="00B82C5C">
        <w:trPr>
          <w:trHeight w:val="300"/>
        </w:trPr>
        <w:tc>
          <w:tcPr>
            <w:tcW w:w="914" w:type="dxa"/>
            <w:shd w:val="clear" w:color="auto" w:fill="auto"/>
            <w:noWrap/>
            <w:hideMark/>
          </w:tcPr>
          <w:p w:rsidR="00CF2FCB" w:rsidRPr="008F4E9E" w:rsidRDefault="00CF2FCB" w:rsidP="00B82C5C">
            <w:pPr>
              <w:rPr>
                <w:color w:val="000000"/>
              </w:rPr>
            </w:pPr>
            <w:r w:rsidRPr="008F4E9E">
              <w:rPr>
                <w:color w:val="000000"/>
              </w:rPr>
              <w:t>XVI</w:t>
            </w:r>
          </w:p>
        </w:tc>
        <w:tc>
          <w:tcPr>
            <w:tcW w:w="220" w:type="dxa"/>
            <w:shd w:val="clear" w:color="auto" w:fill="auto"/>
            <w:noWrap/>
            <w:hideMark/>
          </w:tcPr>
          <w:p w:rsidR="00CF2FCB" w:rsidRPr="008F4E9E" w:rsidRDefault="00CF2FCB" w:rsidP="00B82C5C">
            <w:pPr>
              <w:jc w:val="center"/>
              <w:rPr>
                <w:color w:val="000000"/>
              </w:rPr>
            </w:pPr>
            <w:r w:rsidRPr="008F4E9E">
              <w:rPr>
                <w:color w:val="000000"/>
              </w:rPr>
              <w:t>-</w:t>
            </w:r>
          </w:p>
        </w:tc>
        <w:tc>
          <w:tcPr>
            <w:tcW w:w="6678" w:type="dxa"/>
            <w:shd w:val="clear" w:color="000000" w:fill="FFFFFF"/>
            <w:noWrap/>
            <w:vAlign w:val="bottom"/>
            <w:hideMark/>
          </w:tcPr>
          <w:p w:rsidR="00CF2FCB" w:rsidRPr="008F4E9E" w:rsidRDefault="00CF2FCB" w:rsidP="00B82C5C">
            <w:r w:rsidRPr="008F4E9E">
              <w:t>Gerador fotovoltaico de potência não superior a 750 W</w:t>
            </w:r>
          </w:p>
        </w:tc>
        <w:tc>
          <w:tcPr>
            <w:tcW w:w="1275" w:type="dxa"/>
            <w:shd w:val="clear" w:color="000000" w:fill="FFFFFF"/>
            <w:noWrap/>
            <w:vAlign w:val="center"/>
            <w:hideMark/>
          </w:tcPr>
          <w:p w:rsidR="00CF2FCB" w:rsidRPr="008F4E9E" w:rsidRDefault="00CF2FCB" w:rsidP="00B82C5C">
            <w:pPr>
              <w:jc w:val="center"/>
            </w:pPr>
            <w:r w:rsidRPr="008F4E9E">
              <w:t>8501.31.20;</w:t>
            </w:r>
          </w:p>
        </w:tc>
      </w:tr>
      <w:tr w:rsidR="00CF2FCB" w:rsidRPr="008F4E9E" w:rsidTr="00B82C5C">
        <w:trPr>
          <w:trHeight w:val="300"/>
        </w:trPr>
        <w:tc>
          <w:tcPr>
            <w:tcW w:w="914" w:type="dxa"/>
            <w:shd w:val="clear" w:color="auto" w:fill="auto"/>
            <w:noWrap/>
            <w:hideMark/>
          </w:tcPr>
          <w:p w:rsidR="00CF2FCB" w:rsidRPr="008F4E9E" w:rsidRDefault="00CF2FCB" w:rsidP="00B82C5C">
            <w:pPr>
              <w:rPr>
                <w:color w:val="000000"/>
              </w:rPr>
            </w:pPr>
            <w:r w:rsidRPr="008F4E9E">
              <w:rPr>
                <w:color w:val="000000"/>
              </w:rPr>
              <w:t>XVII</w:t>
            </w:r>
          </w:p>
        </w:tc>
        <w:tc>
          <w:tcPr>
            <w:tcW w:w="220" w:type="dxa"/>
            <w:shd w:val="clear" w:color="auto" w:fill="auto"/>
            <w:noWrap/>
            <w:hideMark/>
          </w:tcPr>
          <w:p w:rsidR="00CF2FCB" w:rsidRPr="008F4E9E" w:rsidRDefault="00CF2FCB" w:rsidP="00B82C5C">
            <w:pPr>
              <w:jc w:val="center"/>
              <w:rPr>
                <w:color w:val="000000"/>
              </w:rPr>
            </w:pPr>
            <w:r w:rsidRPr="008F4E9E">
              <w:rPr>
                <w:color w:val="000000"/>
              </w:rPr>
              <w:t>-</w:t>
            </w:r>
          </w:p>
        </w:tc>
        <w:tc>
          <w:tcPr>
            <w:tcW w:w="6678" w:type="dxa"/>
            <w:shd w:val="clear" w:color="000000" w:fill="FFFFFF"/>
            <w:noWrap/>
            <w:vAlign w:val="bottom"/>
            <w:hideMark/>
          </w:tcPr>
          <w:p w:rsidR="00CF2FCB" w:rsidRPr="008F4E9E" w:rsidRDefault="00CF2FCB" w:rsidP="00B82C5C">
            <w:r w:rsidRPr="008F4E9E">
              <w:t>Gerador fotovoltaico de potência superior a 750 W</w:t>
            </w:r>
            <w:proofErr w:type="gramStart"/>
            <w:r w:rsidRPr="008F4E9E">
              <w:t xml:space="preserve"> mas</w:t>
            </w:r>
            <w:proofErr w:type="gramEnd"/>
            <w:r w:rsidRPr="008F4E9E">
              <w:t xml:space="preserve"> não superior a 75 kW</w:t>
            </w:r>
          </w:p>
        </w:tc>
        <w:tc>
          <w:tcPr>
            <w:tcW w:w="1275" w:type="dxa"/>
            <w:shd w:val="clear" w:color="000000" w:fill="FFFFFF"/>
            <w:noWrap/>
            <w:vAlign w:val="center"/>
            <w:hideMark/>
          </w:tcPr>
          <w:p w:rsidR="00CF2FCB" w:rsidRPr="008F4E9E" w:rsidRDefault="00CF2FCB" w:rsidP="00B82C5C">
            <w:pPr>
              <w:jc w:val="center"/>
            </w:pPr>
            <w:r w:rsidRPr="008F4E9E">
              <w:t>8501.32.20;</w:t>
            </w:r>
          </w:p>
        </w:tc>
      </w:tr>
      <w:tr w:rsidR="00CF2FCB" w:rsidRPr="008F4E9E" w:rsidTr="00B82C5C">
        <w:trPr>
          <w:trHeight w:val="300"/>
        </w:trPr>
        <w:tc>
          <w:tcPr>
            <w:tcW w:w="914" w:type="dxa"/>
            <w:shd w:val="clear" w:color="auto" w:fill="auto"/>
            <w:noWrap/>
            <w:hideMark/>
          </w:tcPr>
          <w:p w:rsidR="00CF2FCB" w:rsidRPr="008F4E9E" w:rsidRDefault="00CF2FCB" w:rsidP="00B82C5C">
            <w:pPr>
              <w:rPr>
                <w:color w:val="000000"/>
              </w:rPr>
            </w:pPr>
            <w:r w:rsidRPr="008F4E9E">
              <w:rPr>
                <w:color w:val="000000"/>
              </w:rPr>
              <w:t>XVIII</w:t>
            </w:r>
          </w:p>
        </w:tc>
        <w:tc>
          <w:tcPr>
            <w:tcW w:w="220" w:type="dxa"/>
            <w:shd w:val="clear" w:color="auto" w:fill="auto"/>
            <w:noWrap/>
            <w:hideMark/>
          </w:tcPr>
          <w:p w:rsidR="00CF2FCB" w:rsidRPr="008F4E9E" w:rsidRDefault="00CF2FCB" w:rsidP="00B82C5C">
            <w:pPr>
              <w:jc w:val="center"/>
              <w:rPr>
                <w:color w:val="000000"/>
              </w:rPr>
            </w:pPr>
            <w:r w:rsidRPr="008F4E9E">
              <w:rPr>
                <w:color w:val="000000"/>
              </w:rPr>
              <w:t>-</w:t>
            </w:r>
          </w:p>
        </w:tc>
        <w:tc>
          <w:tcPr>
            <w:tcW w:w="6678" w:type="dxa"/>
            <w:shd w:val="clear" w:color="000000" w:fill="FFFFFF"/>
            <w:noWrap/>
            <w:vAlign w:val="bottom"/>
            <w:hideMark/>
          </w:tcPr>
          <w:p w:rsidR="00CF2FCB" w:rsidRPr="008F4E9E" w:rsidRDefault="00CF2FCB" w:rsidP="00B82C5C">
            <w:r w:rsidRPr="008F4E9E">
              <w:t xml:space="preserve">Gerador fotovoltaico de potência superior a 75 </w:t>
            </w:r>
            <w:proofErr w:type="gramStart"/>
            <w:r w:rsidRPr="008F4E9E">
              <w:t>kW</w:t>
            </w:r>
            <w:proofErr w:type="gramEnd"/>
            <w:r w:rsidRPr="008F4E9E">
              <w:t xml:space="preserve"> mas não superior a 375 kW</w:t>
            </w:r>
          </w:p>
        </w:tc>
        <w:tc>
          <w:tcPr>
            <w:tcW w:w="1275" w:type="dxa"/>
            <w:shd w:val="clear" w:color="000000" w:fill="FFFFFF"/>
            <w:noWrap/>
            <w:vAlign w:val="center"/>
            <w:hideMark/>
          </w:tcPr>
          <w:p w:rsidR="00CF2FCB" w:rsidRPr="008F4E9E" w:rsidRDefault="00CF2FCB" w:rsidP="00B82C5C">
            <w:pPr>
              <w:jc w:val="center"/>
            </w:pPr>
            <w:r w:rsidRPr="008F4E9E">
              <w:t>8501.33.20;</w:t>
            </w:r>
          </w:p>
        </w:tc>
      </w:tr>
      <w:tr w:rsidR="00CF2FCB" w:rsidRPr="008F4E9E" w:rsidTr="00B82C5C">
        <w:trPr>
          <w:trHeight w:val="300"/>
        </w:trPr>
        <w:tc>
          <w:tcPr>
            <w:tcW w:w="914" w:type="dxa"/>
            <w:shd w:val="clear" w:color="auto" w:fill="auto"/>
            <w:noWrap/>
            <w:hideMark/>
          </w:tcPr>
          <w:p w:rsidR="00CF2FCB" w:rsidRPr="008F4E9E" w:rsidRDefault="00CF2FCB" w:rsidP="00B82C5C">
            <w:pPr>
              <w:rPr>
                <w:color w:val="000000"/>
              </w:rPr>
            </w:pPr>
            <w:r w:rsidRPr="008F4E9E">
              <w:rPr>
                <w:color w:val="000000"/>
              </w:rPr>
              <w:t>XIX</w:t>
            </w:r>
          </w:p>
        </w:tc>
        <w:tc>
          <w:tcPr>
            <w:tcW w:w="220" w:type="dxa"/>
            <w:shd w:val="clear" w:color="auto" w:fill="auto"/>
            <w:noWrap/>
            <w:hideMark/>
          </w:tcPr>
          <w:p w:rsidR="00CF2FCB" w:rsidRPr="008F4E9E" w:rsidRDefault="00CF2FCB" w:rsidP="00B82C5C">
            <w:pPr>
              <w:jc w:val="center"/>
              <w:rPr>
                <w:color w:val="000000"/>
              </w:rPr>
            </w:pPr>
            <w:r w:rsidRPr="008F4E9E">
              <w:rPr>
                <w:color w:val="000000"/>
              </w:rPr>
              <w:t>-</w:t>
            </w:r>
          </w:p>
        </w:tc>
        <w:tc>
          <w:tcPr>
            <w:tcW w:w="6678" w:type="dxa"/>
            <w:shd w:val="clear" w:color="000000" w:fill="FFFFFF"/>
            <w:noWrap/>
            <w:vAlign w:val="bottom"/>
            <w:hideMark/>
          </w:tcPr>
          <w:p w:rsidR="00CF2FCB" w:rsidRPr="008F4E9E" w:rsidRDefault="00CF2FCB" w:rsidP="00B82C5C">
            <w:r w:rsidRPr="008F4E9E">
              <w:t xml:space="preserve">Gerador fotovoltaico de potência superior a 375 </w:t>
            </w:r>
            <w:proofErr w:type="gramStart"/>
            <w:r w:rsidRPr="008F4E9E">
              <w:t>kW</w:t>
            </w:r>
            <w:proofErr w:type="gramEnd"/>
          </w:p>
        </w:tc>
        <w:tc>
          <w:tcPr>
            <w:tcW w:w="1275" w:type="dxa"/>
            <w:shd w:val="clear" w:color="000000" w:fill="FFFFFF"/>
            <w:noWrap/>
            <w:vAlign w:val="center"/>
            <w:hideMark/>
          </w:tcPr>
          <w:p w:rsidR="00CF2FCB" w:rsidRPr="008F4E9E" w:rsidRDefault="00CF2FCB" w:rsidP="00B82C5C">
            <w:pPr>
              <w:jc w:val="center"/>
            </w:pPr>
            <w:r w:rsidRPr="008F4E9E">
              <w:t>8501.34.20;</w:t>
            </w:r>
          </w:p>
        </w:tc>
      </w:tr>
      <w:tr w:rsidR="00CF2FCB" w:rsidRPr="008F4E9E" w:rsidTr="00B82C5C">
        <w:trPr>
          <w:trHeight w:val="300"/>
        </w:trPr>
        <w:tc>
          <w:tcPr>
            <w:tcW w:w="914" w:type="dxa"/>
            <w:shd w:val="clear" w:color="auto" w:fill="auto"/>
            <w:noWrap/>
            <w:hideMark/>
          </w:tcPr>
          <w:p w:rsidR="00CF2FCB" w:rsidRPr="008F4E9E" w:rsidRDefault="00CF2FCB" w:rsidP="00B82C5C">
            <w:pPr>
              <w:rPr>
                <w:color w:val="000000"/>
              </w:rPr>
            </w:pPr>
            <w:r w:rsidRPr="008F4E9E">
              <w:rPr>
                <w:color w:val="000000"/>
              </w:rPr>
              <w:t>XX</w:t>
            </w:r>
          </w:p>
        </w:tc>
        <w:tc>
          <w:tcPr>
            <w:tcW w:w="220" w:type="dxa"/>
            <w:shd w:val="clear" w:color="auto" w:fill="auto"/>
            <w:noWrap/>
            <w:hideMark/>
          </w:tcPr>
          <w:p w:rsidR="00CF2FCB" w:rsidRPr="008F4E9E" w:rsidRDefault="00CF2FCB" w:rsidP="00B82C5C">
            <w:pPr>
              <w:jc w:val="center"/>
              <w:rPr>
                <w:color w:val="000000"/>
              </w:rPr>
            </w:pPr>
            <w:r w:rsidRPr="008F4E9E">
              <w:rPr>
                <w:color w:val="000000"/>
              </w:rPr>
              <w:t>-</w:t>
            </w:r>
          </w:p>
        </w:tc>
        <w:tc>
          <w:tcPr>
            <w:tcW w:w="6678" w:type="dxa"/>
            <w:shd w:val="clear" w:color="000000" w:fill="FFFFFF"/>
            <w:noWrap/>
            <w:vAlign w:val="bottom"/>
            <w:hideMark/>
          </w:tcPr>
          <w:p w:rsidR="00CF2FCB" w:rsidRPr="008F4E9E" w:rsidRDefault="00CF2FCB" w:rsidP="00B82C5C">
            <w:r w:rsidRPr="008F4E9E">
              <w:t>Inversor de frequência híbrido</w:t>
            </w:r>
          </w:p>
        </w:tc>
        <w:tc>
          <w:tcPr>
            <w:tcW w:w="1275" w:type="dxa"/>
            <w:shd w:val="clear" w:color="000000" w:fill="FFFFFF"/>
            <w:noWrap/>
            <w:vAlign w:val="center"/>
            <w:hideMark/>
          </w:tcPr>
          <w:p w:rsidR="00CF2FCB" w:rsidRPr="008F4E9E" w:rsidRDefault="00CF2FCB" w:rsidP="00B82C5C">
            <w:pPr>
              <w:jc w:val="center"/>
            </w:pPr>
            <w:r w:rsidRPr="008F4E9E">
              <w:t>8504.40.29;</w:t>
            </w:r>
          </w:p>
        </w:tc>
      </w:tr>
      <w:tr w:rsidR="00CF2FCB" w:rsidRPr="008F4E9E" w:rsidTr="00B82C5C">
        <w:trPr>
          <w:trHeight w:val="300"/>
        </w:trPr>
        <w:tc>
          <w:tcPr>
            <w:tcW w:w="914" w:type="dxa"/>
            <w:shd w:val="clear" w:color="auto" w:fill="auto"/>
            <w:noWrap/>
            <w:hideMark/>
          </w:tcPr>
          <w:p w:rsidR="00CF2FCB" w:rsidRPr="008F4E9E" w:rsidRDefault="00CF2FCB" w:rsidP="00B82C5C">
            <w:pPr>
              <w:rPr>
                <w:color w:val="000000"/>
              </w:rPr>
            </w:pPr>
            <w:r w:rsidRPr="008F4E9E">
              <w:rPr>
                <w:color w:val="000000"/>
              </w:rPr>
              <w:t>XXI</w:t>
            </w:r>
          </w:p>
        </w:tc>
        <w:tc>
          <w:tcPr>
            <w:tcW w:w="220" w:type="dxa"/>
            <w:shd w:val="clear" w:color="auto" w:fill="auto"/>
            <w:noWrap/>
            <w:hideMark/>
          </w:tcPr>
          <w:p w:rsidR="00CF2FCB" w:rsidRPr="008F4E9E" w:rsidRDefault="00CF2FCB" w:rsidP="00B82C5C">
            <w:pPr>
              <w:jc w:val="center"/>
              <w:rPr>
                <w:color w:val="000000"/>
              </w:rPr>
            </w:pPr>
            <w:r w:rsidRPr="008F4E9E">
              <w:rPr>
                <w:color w:val="000000"/>
              </w:rPr>
              <w:t>-</w:t>
            </w:r>
          </w:p>
        </w:tc>
        <w:tc>
          <w:tcPr>
            <w:tcW w:w="6678" w:type="dxa"/>
            <w:shd w:val="clear" w:color="000000" w:fill="FFFFFF"/>
            <w:noWrap/>
            <w:vAlign w:val="bottom"/>
            <w:hideMark/>
          </w:tcPr>
          <w:p w:rsidR="00CF2FCB" w:rsidRPr="008F4E9E" w:rsidRDefault="00CF2FCB" w:rsidP="00B82C5C">
            <w:r w:rsidRPr="008F4E9E">
              <w:t xml:space="preserve">Conversores de corrente </w:t>
            </w:r>
            <w:proofErr w:type="gramStart"/>
            <w:r w:rsidRPr="008F4E9E">
              <w:t>contínua - Inversores</w:t>
            </w:r>
            <w:proofErr w:type="gramEnd"/>
          </w:p>
        </w:tc>
        <w:tc>
          <w:tcPr>
            <w:tcW w:w="1275" w:type="dxa"/>
            <w:shd w:val="clear" w:color="000000" w:fill="FFFFFF"/>
            <w:noWrap/>
            <w:vAlign w:val="center"/>
            <w:hideMark/>
          </w:tcPr>
          <w:p w:rsidR="00CF2FCB" w:rsidRPr="008F4E9E" w:rsidRDefault="00CF2FCB" w:rsidP="00B82C5C">
            <w:pPr>
              <w:jc w:val="center"/>
            </w:pPr>
            <w:r w:rsidRPr="008F4E9E">
              <w:t>8504.40.30;</w:t>
            </w:r>
          </w:p>
        </w:tc>
      </w:tr>
      <w:tr w:rsidR="00CF2FCB" w:rsidRPr="008F4E9E" w:rsidTr="00B82C5C">
        <w:trPr>
          <w:trHeight w:val="300"/>
        </w:trPr>
        <w:tc>
          <w:tcPr>
            <w:tcW w:w="914" w:type="dxa"/>
            <w:shd w:val="clear" w:color="auto" w:fill="auto"/>
            <w:noWrap/>
            <w:hideMark/>
          </w:tcPr>
          <w:p w:rsidR="00CF2FCB" w:rsidRPr="008F4E9E" w:rsidRDefault="00CF2FCB" w:rsidP="00B82C5C">
            <w:pPr>
              <w:rPr>
                <w:color w:val="000000"/>
              </w:rPr>
            </w:pPr>
            <w:r w:rsidRPr="008F4E9E">
              <w:rPr>
                <w:color w:val="000000"/>
              </w:rPr>
              <w:t>XXII</w:t>
            </w:r>
          </w:p>
        </w:tc>
        <w:tc>
          <w:tcPr>
            <w:tcW w:w="220" w:type="dxa"/>
            <w:shd w:val="clear" w:color="auto" w:fill="auto"/>
            <w:noWrap/>
            <w:hideMark/>
          </w:tcPr>
          <w:p w:rsidR="00CF2FCB" w:rsidRPr="008F4E9E" w:rsidRDefault="00CF2FCB" w:rsidP="00B82C5C">
            <w:pPr>
              <w:jc w:val="center"/>
              <w:rPr>
                <w:color w:val="000000"/>
              </w:rPr>
            </w:pPr>
            <w:r w:rsidRPr="008F4E9E">
              <w:rPr>
                <w:color w:val="000000"/>
              </w:rPr>
              <w:t>-</w:t>
            </w:r>
          </w:p>
        </w:tc>
        <w:tc>
          <w:tcPr>
            <w:tcW w:w="6678" w:type="dxa"/>
            <w:shd w:val="clear" w:color="000000" w:fill="FFFFFF"/>
            <w:noWrap/>
            <w:vAlign w:val="bottom"/>
            <w:hideMark/>
          </w:tcPr>
          <w:p w:rsidR="00CF2FCB" w:rsidRPr="008F4E9E" w:rsidRDefault="00CF2FCB" w:rsidP="00B82C5C">
            <w:r w:rsidRPr="008F4E9E">
              <w:t>Inversores - Outros</w:t>
            </w:r>
          </w:p>
        </w:tc>
        <w:tc>
          <w:tcPr>
            <w:tcW w:w="1275" w:type="dxa"/>
            <w:shd w:val="clear" w:color="000000" w:fill="FFFFFF"/>
            <w:noWrap/>
            <w:vAlign w:val="center"/>
            <w:hideMark/>
          </w:tcPr>
          <w:p w:rsidR="00CF2FCB" w:rsidRPr="008F4E9E" w:rsidRDefault="00CF2FCB" w:rsidP="00B82C5C">
            <w:pPr>
              <w:jc w:val="center"/>
            </w:pPr>
            <w:r w:rsidRPr="008F4E9E">
              <w:t>8504.40.90;</w:t>
            </w:r>
          </w:p>
        </w:tc>
      </w:tr>
      <w:tr w:rsidR="00CF2FCB" w:rsidRPr="008F4E9E" w:rsidTr="00B82C5C">
        <w:trPr>
          <w:trHeight w:val="300"/>
        </w:trPr>
        <w:tc>
          <w:tcPr>
            <w:tcW w:w="914" w:type="dxa"/>
            <w:shd w:val="clear" w:color="auto" w:fill="auto"/>
            <w:noWrap/>
            <w:hideMark/>
          </w:tcPr>
          <w:p w:rsidR="00CF2FCB" w:rsidRPr="008F4E9E" w:rsidRDefault="00CF2FCB" w:rsidP="00B82C5C">
            <w:pPr>
              <w:rPr>
                <w:color w:val="000000"/>
              </w:rPr>
            </w:pPr>
            <w:r w:rsidRPr="008F4E9E">
              <w:rPr>
                <w:color w:val="000000"/>
              </w:rPr>
              <w:t>XXIII</w:t>
            </w:r>
          </w:p>
        </w:tc>
        <w:tc>
          <w:tcPr>
            <w:tcW w:w="220" w:type="dxa"/>
            <w:shd w:val="clear" w:color="auto" w:fill="auto"/>
            <w:noWrap/>
            <w:hideMark/>
          </w:tcPr>
          <w:p w:rsidR="00CF2FCB" w:rsidRPr="008F4E9E" w:rsidRDefault="00CF2FCB" w:rsidP="00B82C5C">
            <w:pPr>
              <w:jc w:val="center"/>
              <w:rPr>
                <w:color w:val="000000"/>
              </w:rPr>
            </w:pPr>
            <w:r w:rsidRPr="008F4E9E">
              <w:rPr>
                <w:color w:val="000000"/>
              </w:rPr>
              <w:t>-</w:t>
            </w:r>
          </w:p>
        </w:tc>
        <w:tc>
          <w:tcPr>
            <w:tcW w:w="6678" w:type="dxa"/>
            <w:shd w:val="clear" w:color="000000" w:fill="FFFFFF"/>
            <w:noWrap/>
            <w:vAlign w:val="bottom"/>
            <w:hideMark/>
          </w:tcPr>
          <w:p w:rsidR="00CF2FCB" w:rsidRPr="008F4E9E" w:rsidRDefault="00CF2FCB" w:rsidP="00B82C5C">
            <w:r w:rsidRPr="008F4E9E">
              <w:t>Conectores para sistemas FV - Outros</w:t>
            </w:r>
          </w:p>
        </w:tc>
        <w:tc>
          <w:tcPr>
            <w:tcW w:w="1275" w:type="dxa"/>
            <w:shd w:val="clear" w:color="000000" w:fill="FFFFFF"/>
            <w:noWrap/>
            <w:vAlign w:val="center"/>
            <w:hideMark/>
          </w:tcPr>
          <w:p w:rsidR="00CF2FCB" w:rsidRPr="008F4E9E" w:rsidRDefault="00CF2FCB" w:rsidP="00B82C5C">
            <w:pPr>
              <w:jc w:val="center"/>
            </w:pPr>
            <w:r w:rsidRPr="008F4E9E">
              <w:t>8536.69.90;</w:t>
            </w:r>
          </w:p>
        </w:tc>
      </w:tr>
      <w:tr w:rsidR="00CF2FCB" w:rsidRPr="008F4E9E" w:rsidTr="00B82C5C">
        <w:trPr>
          <w:trHeight w:val="300"/>
        </w:trPr>
        <w:tc>
          <w:tcPr>
            <w:tcW w:w="914" w:type="dxa"/>
            <w:shd w:val="clear" w:color="auto" w:fill="auto"/>
            <w:noWrap/>
            <w:hideMark/>
          </w:tcPr>
          <w:p w:rsidR="00CF2FCB" w:rsidRPr="008F4E9E" w:rsidRDefault="00CF2FCB" w:rsidP="00B82C5C">
            <w:pPr>
              <w:rPr>
                <w:color w:val="000000"/>
              </w:rPr>
            </w:pPr>
            <w:r w:rsidRPr="008F4E9E">
              <w:rPr>
                <w:color w:val="000000"/>
              </w:rPr>
              <w:t>XXIV</w:t>
            </w:r>
          </w:p>
        </w:tc>
        <w:tc>
          <w:tcPr>
            <w:tcW w:w="220" w:type="dxa"/>
            <w:shd w:val="clear" w:color="auto" w:fill="auto"/>
            <w:noWrap/>
            <w:hideMark/>
          </w:tcPr>
          <w:p w:rsidR="00CF2FCB" w:rsidRPr="008F4E9E" w:rsidRDefault="00CF2FCB" w:rsidP="00B82C5C">
            <w:pPr>
              <w:jc w:val="center"/>
              <w:rPr>
                <w:color w:val="000000"/>
              </w:rPr>
            </w:pPr>
            <w:r w:rsidRPr="008F4E9E">
              <w:rPr>
                <w:color w:val="000000"/>
              </w:rPr>
              <w:t>-</w:t>
            </w:r>
          </w:p>
        </w:tc>
        <w:tc>
          <w:tcPr>
            <w:tcW w:w="6678" w:type="dxa"/>
            <w:shd w:val="clear" w:color="000000" w:fill="FFFFFF"/>
            <w:noWrap/>
            <w:vAlign w:val="bottom"/>
            <w:hideMark/>
          </w:tcPr>
          <w:p w:rsidR="00CF2FCB" w:rsidRPr="008F4E9E" w:rsidRDefault="00CF2FCB" w:rsidP="00B82C5C">
            <w:r w:rsidRPr="008F4E9E">
              <w:t>Conectores elétricos</w:t>
            </w:r>
          </w:p>
        </w:tc>
        <w:tc>
          <w:tcPr>
            <w:tcW w:w="1275" w:type="dxa"/>
            <w:shd w:val="clear" w:color="000000" w:fill="FFFFFF"/>
            <w:noWrap/>
            <w:vAlign w:val="center"/>
            <w:hideMark/>
          </w:tcPr>
          <w:p w:rsidR="00CF2FCB" w:rsidRPr="008F4E9E" w:rsidRDefault="00CF2FCB" w:rsidP="00B82C5C">
            <w:pPr>
              <w:jc w:val="center"/>
            </w:pPr>
            <w:r w:rsidRPr="008F4E9E">
              <w:t>8536.90.10;</w:t>
            </w:r>
          </w:p>
        </w:tc>
      </w:tr>
      <w:tr w:rsidR="00CF2FCB" w:rsidRPr="008F4E9E" w:rsidTr="00B82C5C">
        <w:trPr>
          <w:trHeight w:val="300"/>
        </w:trPr>
        <w:tc>
          <w:tcPr>
            <w:tcW w:w="914" w:type="dxa"/>
            <w:shd w:val="clear" w:color="auto" w:fill="auto"/>
            <w:noWrap/>
            <w:hideMark/>
          </w:tcPr>
          <w:p w:rsidR="00CF2FCB" w:rsidRPr="008F4E9E" w:rsidRDefault="00CF2FCB" w:rsidP="00B82C5C">
            <w:pPr>
              <w:rPr>
                <w:color w:val="000000"/>
              </w:rPr>
            </w:pPr>
            <w:r w:rsidRPr="008F4E9E">
              <w:rPr>
                <w:color w:val="000000"/>
              </w:rPr>
              <w:lastRenderedPageBreak/>
              <w:t>XXV</w:t>
            </w:r>
          </w:p>
        </w:tc>
        <w:tc>
          <w:tcPr>
            <w:tcW w:w="220" w:type="dxa"/>
            <w:shd w:val="clear" w:color="auto" w:fill="auto"/>
            <w:noWrap/>
            <w:hideMark/>
          </w:tcPr>
          <w:p w:rsidR="00CF2FCB" w:rsidRPr="008F4E9E" w:rsidRDefault="00CF2FCB" w:rsidP="00B82C5C">
            <w:pPr>
              <w:jc w:val="center"/>
              <w:rPr>
                <w:color w:val="000000"/>
              </w:rPr>
            </w:pPr>
            <w:r w:rsidRPr="008F4E9E">
              <w:rPr>
                <w:color w:val="000000"/>
              </w:rPr>
              <w:t>-</w:t>
            </w:r>
          </w:p>
        </w:tc>
        <w:tc>
          <w:tcPr>
            <w:tcW w:w="6678" w:type="dxa"/>
            <w:shd w:val="clear" w:color="000000" w:fill="FFFFFF"/>
            <w:noWrap/>
            <w:vAlign w:val="bottom"/>
            <w:hideMark/>
          </w:tcPr>
          <w:p w:rsidR="00CF2FCB" w:rsidRPr="008F4E9E" w:rsidRDefault="00CF2FCB" w:rsidP="00B82C5C">
            <w:r w:rsidRPr="008F4E9E">
              <w:t>Conectores elétricos</w:t>
            </w:r>
          </w:p>
        </w:tc>
        <w:tc>
          <w:tcPr>
            <w:tcW w:w="1275" w:type="dxa"/>
            <w:shd w:val="clear" w:color="000000" w:fill="FFFFFF"/>
            <w:noWrap/>
            <w:vAlign w:val="center"/>
            <w:hideMark/>
          </w:tcPr>
          <w:p w:rsidR="00CF2FCB" w:rsidRPr="008F4E9E" w:rsidRDefault="00CF2FCB" w:rsidP="00B82C5C">
            <w:pPr>
              <w:jc w:val="center"/>
            </w:pPr>
            <w:r w:rsidRPr="008F4E9E">
              <w:t>8536.90.90;</w:t>
            </w:r>
          </w:p>
        </w:tc>
      </w:tr>
      <w:tr w:rsidR="00CF2FCB" w:rsidRPr="008F4E9E" w:rsidTr="00B82C5C">
        <w:trPr>
          <w:trHeight w:val="300"/>
        </w:trPr>
        <w:tc>
          <w:tcPr>
            <w:tcW w:w="914" w:type="dxa"/>
            <w:shd w:val="clear" w:color="auto" w:fill="auto"/>
            <w:noWrap/>
            <w:hideMark/>
          </w:tcPr>
          <w:p w:rsidR="00CF2FCB" w:rsidRPr="008F4E9E" w:rsidRDefault="00CF2FCB" w:rsidP="00B82C5C">
            <w:pPr>
              <w:rPr>
                <w:color w:val="000000"/>
              </w:rPr>
            </w:pPr>
            <w:r w:rsidRPr="008F4E9E">
              <w:rPr>
                <w:color w:val="000000"/>
              </w:rPr>
              <w:t>XXVI</w:t>
            </w:r>
          </w:p>
        </w:tc>
        <w:tc>
          <w:tcPr>
            <w:tcW w:w="220" w:type="dxa"/>
            <w:shd w:val="clear" w:color="auto" w:fill="auto"/>
            <w:noWrap/>
            <w:hideMark/>
          </w:tcPr>
          <w:p w:rsidR="00CF2FCB" w:rsidRPr="008F4E9E" w:rsidRDefault="00CF2FCB" w:rsidP="00B82C5C">
            <w:pPr>
              <w:jc w:val="center"/>
              <w:rPr>
                <w:color w:val="000000"/>
              </w:rPr>
            </w:pPr>
            <w:r w:rsidRPr="008F4E9E">
              <w:rPr>
                <w:color w:val="000000"/>
              </w:rPr>
              <w:t>-</w:t>
            </w:r>
          </w:p>
        </w:tc>
        <w:tc>
          <w:tcPr>
            <w:tcW w:w="6678" w:type="dxa"/>
            <w:shd w:val="clear" w:color="000000" w:fill="FFFFFF"/>
            <w:noWrap/>
            <w:vAlign w:val="bottom"/>
            <w:hideMark/>
          </w:tcPr>
          <w:p w:rsidR="00CF2FCB" w:rsidRPr="008F4E9E" w:rsidRDefault="00CF2FCB" w:rsidP="00B82C5C">
            <w:r w:rsidRPr="008F4E9E">
              <w:t xml:space="preserve">Quaisquer outros quadros para distribuição de energia elétrica até </w:t>
            </w:r>
            <w:proofErr w:type="gramStart"/>
            <w:r w:rsidRPr="008F4E9E">
              <w:t>1000V</w:t>
            </w:r>
            <w:proofErr w:type="gramEnd"/>
          </w:p>
        </w:tc>
        <w:tc>
          <w:tcPr>
            <w:tcW w:w="1275" w:type="dxa"/>
            <w:shd w:val="clear" w:color="000000" w:fill="FFFFFF"/>
            <w:noWrap/>
            <w:vAlign w:val="center"/>
            <w:hideMark/>
          </w:tcPr>
          <w:p w:rsidR="00CF2FCB" w:rsidRPr="008F4E9E" w:rsidRDefault="00CF2FCB" w:rsidP="00B82C5C">
            <w:pPr>
              <w:jc w:val="center"/>
            </w:pPr>
            <w:r w:rsidRPr="008F4E9E">
              <w:t>8537.10.90;</w:t>
            </w:r>
          </w:p>
        </w:tc>
      </w:tr>
      <w:tr w:rsidR="00CF2FCB" w:rsidRPr="008F4E9E" w:rsidTr="00B82C5C">
        <w:trPr>
          <w:trHeight w:val="300"/>
        </w:trPr>
        <w:tc>
          <w:tcPr>
            <w:tcW w:w="914" w:type="dxa"/>
            <w:shd w:val="clear" w:color="auto" w:fill="auto"/>
            <w:noWrap/>
            <w:hideMark/>
          </w:tcPr>
          <w:p w:rsidR="00CF2FCB" w:rsidRPr="008F4E9E" w:rsidRDefault="00CF2FCB" w:rsidP="00B82C5C">
            <w:pPr>
              <w:rPr>
                <w:color w:val="000000"/>
              </w:rPr>
            </w:pPr>
            <w:r w:rsidRPr="008F4E9E">
              <w:rPr>
                <w:color w:val="000000"/>
              </w:rPr>
              <w:t>XXVII</w:t>
            </w:r>
          </w:p>
        </w:tc>
        <w:tc>
          <w:tcPr>
            <w:tcW w:w="220" w:type="dxa"/>
            <w:shd w:val="clear" w:color="auto" w:fill="auto"/>
            <w:noWrap/>
            <w:hideMark/>
          </w:tcPr>
          <w:p w:rsidR="00CF2FCB" w:rsidRPr="008F4E9E" w:rsidRDefault="00CF2FCB" w:rsidP="00B82C5C">
            <w:pPr>
              <w:jc w:val="center"/>
              <w:rPr>
                <w:color w:val="000000"/>
              </w:rPr>
            </w:pPr>
            <w:r w:rsidRPr="008F4E9E">
              <w:rPr>
                <w:color w:val="000000"/>
              </w:rPr>
              <w:t>-</w:t>
            </w:r>
          </w:p>
        </w:tc>
        <w:tc>
          <w:tcPr>
            <w:tcW w:w="6678" w:type="dxa"/>
            <w:shd w:val="clear" w:color="000000" w:fill="FFFFFF"/>
            <w:noWrap/>
            <w:vAlign w:val="bottom"/>
            <w:hideMark/>
          </w:tcPr>
          <w:p w:rsidR="00CF2FCB" w:rsidRPr="008F4E9E" w:rsidRDefault="00CF2FCB" w:rsidP="00B82C5C">
            <w:r w:rsidRPr="008F4E9E">
              <w:t xml:space="preserve">Quaisquer outros quadros para distribuição de energia elétrica superior a </w:t>
            </w:r>
            <w:proofErr w:type="gramStart"/>
            <w:r w:rsidRPr="008F4E9E">
              <w:t>1000V</w:t>
            </w:r>
            <w:proofErr w:type="gramEnd"/>
          </w:p>
        </w:tc>
        <w:tc>
          <w:tcPr>
            <w:tcW w:w="1275" w:type="dxa"/>
            <w:shd w:val="clear" w:color="000000" w:fill="FFFFFF"/>
            <w:noWrap/>
            <w:vAlign w:val="center"/>
            <w:hideMark/>
          </w:tcPr>
          <w:p w:rsidR="00CF2FCB" w:rsidRPr="008F4E9E" w:rsidRDefault="00CF2FCB" w:rsidP="00B82C5C">
            <w:pPr>
              <w:jc w:val="center"/>
            </w:pPr>
            <w:r w:rsidRPr="008F4E9E">
              <w:t>8537.20.90;</w:t>
            </w:r>
          </w:p>
        </w:tc>
      </w:tr>
      <w:tr w:rsidR="00CF2FCB" w:rsidRPr="008F4E9E" w:rsidTr="00B82C5C">
        <w:trPr>
          <w:trHeight w:val="300"/>
        </w:trPr>
        <w:tc>
          <w:tcPr>
            <w:tcW w:w="914" w:type="dxa"/>
            <w:shd w:val="clear" w:color="auto" w:fill="auto"/>
            <w:noWrap/>
            <w:hideMark/>
          </w:tcPr>
          <w:p w:rsidR="00CF2FCB" w:rsidRPr="008F4E9E" w:rsidRDefault="00CF2FCB" w:rsidP="00B82C5C">
            <w:pPr>
              <w:rPr>
                <w:color w:val="000000"/>
              </w:rPr>
            </w:pPr>
            <w:r w:rsidRPr="008F4E9E">
              <w:rPr>
                <w:color w:val="000000"/>
              </w:rPr>
              <w:t>XXVIII</w:t>
            </w:r>
          </w:p>
        </w:tc>
        <w:tc>
          <w:tcPr>
            <w:tcW w:w="220" w:type="dxa"/>
            <w:shd w:val="clear" w:color="auto" w:fill="auto"/>
            <w:noWrap/>
            <w:hideMark/>
          </w:tcPr>
          <w:p w:rsidR="00CF2FCB" w:rsidRPr="008F4E9E" w:rsidRDefault="00CF2FCB" w:rsidP="00B82C5C">
            <w:pPr>
              <w:jc w:val="center"/>
              <w:rPr>
                <w:color w:val="000000"/>
              </w:rPr>
            </w:pPr>
            <w:r w:rsidRPr="008F4E9E">
              <w:rPr>
                <w:color w:val="000000"/>
              </w:rPr>
              <w:t>-</w:t>
            </w:r>
          </w:p>
        </w:tc>
        <w:tc>
          <w:tcPr>
            <w:tcW w:w="6678" w:type="dxa"/>
            <w:shd w:val="clear" w:color="000000" w:fill="FFFFFF"/>
            <w:noWrap/>
            <w:vAlign w:val="bottom"/>
            <w:hideMark/>
          </w:tcPr>
          <w:p w:rsidR="00CF2FCB" w:rsidRPr="008F4E9E" w:rsidRDefault="00CF2FCB" w:rsidP="00B82C5C">
            <w:pPr>
              <w:rPr>
                <w:color w:val="000000"/>
              </w:rPr>
            </w:pPr>
            <w:r w:rsidRPr="008F4E9E">
              <w:rPr>
                <w:color w:val="000000"/>
              </w:rPr>
              <w:t>Módulos fotovoltaicos (células solares em módulos ou painéis)</w:t>
            </w:r>
          </w:p>
        </w:tc>
        <w:tc>
          <w:tcPr>
            <w:tcW w:w="1275" w:type="dxa"/>
            <w:shd w:val="clear" w:color="000000" w:fill="FFFFFF"/>
            <w:noWrap/>
            <w:vAlign w:val="center"/>
            <w:hideMark/>
          </w:tcPr>
          <w:p w:rsidR="00CF2FCB" w:rsidRPr="008F4E9E" w:rsidRDefault="00CF2FCB" w:rsidP="00B82C5C">
            <w:pPr>
              <w:jc w:val="center"/>
            </w:pPr>
            <w:r w:rsidRPr="008F4E9E">
              <w:t>8541.40.32;</w:t>
            </w:r>
          </w:p>
        </w:tc>
      </w:tr>
      <w:tr w:rsidR="00CF2FCB" w:rsidRPr="008F4E9E" w:rsidTr="00B82C5C">
        <w:trPr>
          <w:trHeight w:val="300"/>
        </w:trPr>
        <w:tc>
          <w:tcPr>
            <w:tcW w:w="914" w:type="dxa"/>
            <w:shd w:val="clear" w:color="auto" w:fill="auto"/>
            <w:noWrap/>
            <w:hideMark/>
          </w:tcPr>
          <w:p w:rsidR="00CF2FCB" w:rsidRPr="008F4E9E" w:rsidRDefault="00CF2FCB" w:rsidP="00B82C5C">
            <w:pPr>
              <w:rPr>
                <w:color w:val="000000"/>
              </w:rPr>
            </w:pPr>
            <w:r w:rsidRPr="008F4E9E">
              <w:rPr>
                <w:color w:val="000000"/>
              </w:rPr>
              <w:t>XXIX</w:t>
            </w:r>
          </w:p>
        </w:tc>
        <w:tc>
          <w:tcPr>
            <w:tcW w:w="220" w:type="dxa"/>
            <w:shd w:val="clear" w:color="auto" w:fill="auto"/>
            <w:noWrap/>
            <w:hideMark/>
          </w:tcPr>
          <w:p w:rsidR="00CF2FCB" w:rsidRPr="008F4E9E" w:rsidRDefault="00CF2FCB" w:rsidP="00B82C5C">
            <w:pPr>
              <w:jc w:val="center"/>
              <w:rPr>
                <w:color w:val="000000"/>
              </w:rPr>
            </w:pPr>
            <w:r w:rsidRPr="008F4E9E">
              <w:rPr>
                <w:color w:val="000000"/>
              </w:rPr>
              <w:t>-</w:t>
            </w:r>
          </w:p>
        </w:tc>
        <w:tc>
          <w:tcPr>
            <w:tcW w:w="6678" w:type="dxa"/>
            <w:shd w:val="clear" w:color="000000" w:fill="FFFFFF"/>
            <w:noWrap/>
            <w:vAlign w:val="bottom"/>
            <w:hideMark/>
          </w:tcPr>
          <w:p w:rsidR="00CF2FCB" w:rsidRPr="008F4E9E" w:rsidRDefault="00CF2FCB" w:rsidP="00B82C5C">
            <w:pPr>
              <w:rPr>
                <w:color w:val="000000"/>
              </w:rPr>
            </w:pPr>
            <w:r w:rsidRPr="008F4E9E">
              <w:rPr>
                <w:color w:val="000000"/>
              </w:rPr>
              <w:t>Outras células fotovoltaicas em módulos ou painéis</w:t>
            </w:r>
          </w:p>
        </w:tc>
        <w:tc>
          <w:tcPr>
            <w:tcW w:w="1275" w:type="dxa"/>
            <w:shd w:val="clear" w:color="000000" w:fill="FFFFFF"/>
            <w:noWrap/>
            <w:vAlign w:val="center"/>
            <w:hideMark/>
          </w:tcPr>
          <w:p w:rsidR="00CF2FCB" w:rsidRPr="008F4E9E" w:rsidRDefault="00CF2FCB" w:rsidP="00B82C5C">
            <w:pPr>
              <w:jc w:val="center"/>
            </w:pPr>
            <w:r w:rsidRPr="008F4E9E">
              <w:t>8541.40.39;</w:t>
            </w:r>
          </w:p>
        </w:tc>
      </w:tr>
      <w:tr w:rsidR="00CF2FCB" w:rsidRPr="008F4E9E" w:rsidTr="00B82C5C">
        <w:trPr>
          <w:trHeight w:val="300"/>
        </w:trPr>
        <w:tc>
          <w:tcPr>
            <w:tcW w:w="914" w:type="dxa"/>
            <w:shd w:val="clear" w:color="auto" w:fill="auto"/>
            <w:noWrap/>
            <w:hideMark/>
          </w:tcPr>
          <w:p w:rsidR="00CF2FCB" w:rsidRPr="008F4E9E" w:rsidRDefault="00CF2FCB" w:rsidP="00B82C5C">
            <w:pPr>
              <w:rPr>
                <w:color w:val="000000"/>
              </w:rPr>
            </w:pPr>
            <w:r w:rsidRPr="008F4E9E">
              <w:rPr>
                <w:color w:val="000000"/>
              </w:rPr>
              <w:t>XXX</w:t>
            </w:r>
          </w:p>
        </w:tc>
        <w:tc>
          <w:tcPr>
            <w:tcW w:w="220" w:type="dxa"/>
            <w:shd w:val="clear" w:color="auto" w:fill="auto"/>
            <w:noWrap/>
            <w:hideMark/>
          </w:tcPr>
          <w:p w:rsidR="00CF2FCB" w:rsidRPr="008F4E9E" w:rsidRDefault="00CF2FCB" w:rsidP="00B82C5C">
            <w:pPr>
              <w:jc w:val="center"/>
              <w:rPr>
                <w:color w:val="000000"/>
              </w:rPr>
            </w:pPr>
            <w:r w:rsidRPr="008F4E9E">
              <w:rPr>
                <w:color w:val="000000"/>
              </w:rPr>
              <w:t>-</w:t>
            </w:r>
          </w:p>
        </w:tc>
        <w:tc>
          <w:tcPr>
            <w:tcW w:w="6678" w:type="dxa"/>
            <w:shd w:val="clear" w:color="000000" w:fill="FFFFFF"/>
            <w:noWrap/>
            <w:vAlign w:val="bottom"/>
            <w:hideMark/>
          </w:tcPr>
          <w:p w:rsidR="00CF2FCB" w:rsidRPr="008F4E9E" w:rsidRDefault="00CF2FCB" w:rsidP="00B82C5C">
            <w:r w:rsidRPr="008F4E9E">
              <w:t>Cabos coaxiais e outros condutores elétricos coaxiais</w:t>
            </w:r>
          </w:p>
        </w:tc>
        <w:tc>
          <w:tcPr>
            <w:tcW w:w="1275" w:type="dxa"/>
            <w:shd w:val="clear" w:color="000000" w:fill="FFFFFF"/>
            <w:noWrap/>
            <w:vAlign w:val="center"/>
            <w:hideMark/>
          </w:tcPr>
          <w:p w:rsidR="00CF2FCB" w:rsidRPr="008F4E9E" w:rsidRDefault="00CF2FCB" w:rsidP="00B82C5C">
            <w:pPr>
              <w:jc w:val="center"/>
            </w:pPr>
            <w:r w:rsidRPr="008F4E9E">
              <w:t>8544.20.00;</w:t>
            </w:r>
          </w:p>
        </w:tc>
      </w:tr>
      <w:tr w:rsidR="00CF2FCB" w:rsidRPr="008F4E9E" w:rsidTr="00B82C5C">
        <w:trPr>
          <w:trHeight w:val="300"/>
        </w:trPr>
        <w:tc>
          <w:tcPr>
            <w:tcW w:w="914" w:type="dxa"/>
            <w:shd w:val="clear" w:color="auto" w:fill="auto"/>
            <w:noWrap/>
            <w:hideMark/>
          </w:tcPr>
          <w:p w:rsidR="00CF2FCB" w:rsidRPr="008F4E9E" w:rsidRDefault="00CF2FCB" w:rsidP="00B82C5C">
            <w:pPr>
              <w:rPr>
                <w:color w:val="000000"/>
              </w:rPr>
            </w:pPr>
            <w:r w:rsidRPr="008F4E9E">
              <w:rPr>
                <w:color w:val="000000"/>
              </w:rPr>
              <w:t>XXXI</w:t>
            </w:r>
          </w:p>
        </w:tc>
        <w:tc>
          <w:tcPr>
            <w:tcW w:w="220" w:type="dxa"/>
            <w:shd w:val="clear" w:color="auto" w:fill="auto"/>
            <w:noWrap/>
            <w:hideMark/>
          </w:tcPr>
          <w:p w:rsidR="00CF2FCB" w:rsidRPr="008F4E9E" w:rsidRDefault="00CF2FCB" w:rsidP="00B82C5C">
            <w:pPr>
              <w:jc w:val="center"/>
              <w:rPr>
                <w:color w:val="000000"/>
              </w:rPr>
            </w:pPr>
            <w:r w:rsidRPr="008F4E9E">
              <w:rPr>
                <w:color w:val="000000"/>
              </w:rPr>
              <w:t>-</w:t>
            </w:r>
          </w:p>
        </w:tc>
        <w:tc>
          <w:tcPr>
            <w:tcW w:w="6678" w:type="dxa"/>
            <w:shd w:val="clear" w:color="000000" w:fill="FFFFFF"/>
            <w:noWrap/>
            <w:vAlign w:val="bottom"/>
            <w:hideMark/>
          </w:tcPr>
          <w:p w:rsidR="00CF2FCB" w:rsidRPr="008F4E9E" w:rsidRDefault="00CF2FCB" w:rsidP="00B82C5C">
            <w:r w:rsidRPr="008F4E9E">
              <w:t>Cabos para tensão não superior a 1000 V com peças de conexão</w:t>
            </w:r>
          </w:p>
        </w:tc>
        <w:tc>
          <w:tcPr>
            <w:tcW w:w="1275" w:type="dxa"/>
            <w:shd w:val="clear" w:color="000000" w:fill="FFFFFF"/>
            <w:noWrap/>
            <w:vAlign w:val="center"/>
            <w:hideMark/>
          </w:tcPr>
          <w:p w:rsidR="00CF2FCB" w:rsidRPr="008F4E9E" w:rsidRDefault="00CF2FCB" w:rsidP="00B82C5C">
            <w:pPr>
              <w:jc w:val="center"/>
            </w:pPr>
            <w:r w:rsidRPr="008F4E9E">
              <w:t>8544.42.00;</w:t>
            </w:r>
          </w:p>
        </w:tc>
      </w:tr>
      <w:tr w:rsidR="00CF2FCB" w:rsidRPr="008F4E9E" w:rsidTr="00B82C5C">
        <w:trPr>
          <w:trHeight w:val="300"/>
        </w:trPr>
        <w:tc>
          <w:tcPr>
            <w:tcW w:w="914" w:type="dxa"/>
            <w:shd w:val="clear" w:color="auto" w:fill="auto"/>
            <w:noWrap/>
            <w:hideMark/>
          </w:tcPr>
          <w:p w:rsidR="00CF2FCB" w:rsidRPr="008F4E9E" w:rsidRDefault="00CF2FCB" w:rsidP="00B82C5C">
            <w:pPr>
              <w:rPr>
                <w:color w:val="000000"/>
              </w:rPr>
            </w:pPr>
            <w:r w:rsidRPr="008F4E9E">
              <w:rPr>
                <w:color w:val="000000"/>
              </w:rPr>
              <w:t>XXXII</w:t>
            </w:r>
          </w:p>
        </w:tc>
        <w:tc>
          <w:tcPr>
            <w:tcW w:w="220" w:type="dxa"/>
            <w:shd w:val="clear" w:color="auto" w:fill="auto"/>
            <w:noWrap/>
            <w:hideMark/>
          </w:tcPr>
          <w:p w:rsidR="00CF2FCB" w:rsidRPr="008F4E9E" w:rsidRDefault="00CF2FCB" w:rsidP="00B82C5C">
            <w:pPr>
              <w:jc w:val="center"/>
              <w:rPr>
                <w:color w:val="000000"/>
              </w:rPr>
            </w:pPr>
            <w:r w:rsidRPr="008F4E9E">
              <w:rPr>
                <w:color w:val="000000"/>
              </w:rPr>
              <w:t>-</w:t>
            </w:r>
          </w:p>
        </w:tc>
        <w:tc>
          <w:tcPr>
            <w:tcW w:w="6678" w:type="dxa"/>
            <w:shd w:val="clear" w:color="000000" w:fill="FFFFFF"/>
            <w:noWrap/>
            <w:vAlign w:val="bottom"/>
            <w:hideMark/>
          </w:tcPr>
          <w:p w:rsidR="00CF2FCB" w:rsidRPr="008F4E9E" w:rsidRDefault="00CF2FCB" w:rsidP="00B82C5C">
            <w:r w:rsidRPr="008F4E9E">
              <w:t>Cabos para tensão não superior a 1000 V sem peças de conexão</w:t>
            </w:r>
          </w:p>
        </w:tc>
        <w:tc>
          <w:tcPr>
            <w:tcW w:w="1275" w:type="dxa"/>
            <w:shd w:val="clear" w:color="000000" w:fill="FFFFFF"/>
            <w:noWrap/>
            <w:vAlign w:val="center"/>
            <w:hideMark/>
          </w:tcPr>
          <w:p w:rsidR="00CF2FCB" w:rsidRPr="008F4E9E" w:rsidRDefault="00CF2FCB" w:rsidP="00B82C5C">
            <w:pPr>
              <w:jc w:val="center"/>
            </w:pPr>
            <w:r w:rsidRPr="008F4E9E">
              <w:t>8544.49.00;</w:t>
            </w:r>
          </w:p>
        </w:tc>
      </w:tr>
      <w:tr w:rsidR="00CF2FCB" w:rsidRPr="008F4E9E" w:rsidTr="00B82C5C">
        <w:trPr>
          <w:trHeight w:val="300"/>
        </w:trPr>
        <w:tc>
          <w:tcPr>
            <w:tcW w:w="914" w:type="dxa"/>
            <w:shd w:val="clear" w:color="auto" w:fill="auto"/>
            <w:noWrap/>
            <w:hideMark/>
          </w:tcPr>
          <w:p w:rsidR="00CF2FCB" w:rsidRPr="008F4E9E" w:rsidRDefault="00CF2FCB" w:rsidP="00B82C5C">
            <w:pPr>
              <w:rPr>
                <w:color w:val="000000"/>
              </w:rPr>
            </w:pPr>
            <w:r w:rsidRPr="008F4E9E">
              <w:rPr>
                <w:color w:val="000000"/>
              </w:rPr>
              <w:t>XXXIII</w:t>
            </w:r>
          </w:p>
        </w:tc>
        <w:tc>
          <w:tcPr>
            <w:tcW w:w="220" w:type="dxa"/>
            <w:shd w:val="clear" w:color="auto" w:fill="auto"/>
            <w:noWrap/>
            <w:hideMark/>
          </w:tcPr>
          <w:p w:rsidR="00CF2FCB" w:rsidRPr="008F4E9E" w:rsidRDefault="00CF2FCB" w:rsidP="00B82C5C">
            <w:pPr>
              <w:jc w:val="center"/>
              <w:rPr>
                <w:color w:val="000000"/>
              </w:rPr>
            </w:pPr>
            <w:r w:rsidRPr="008F4E9E">
              <w:rPr>
                <w:color w:val="000000"/>
              </w:rPr>
              <w:t>-</w:t>
            </w:r>
          </w:p>
        </w:tc>
        <w:tc>
          <w:tcPr>
            <w:tcW w:w="6678" w:type="dxa"/>
            <w:shd w:val="clear" w:color="000000" w:fill="FFFFFF"/>
            <w:noWrap/>
            <w:vAlign w:val="bottom"/>
            <w:hideMark/>
          </w:tcPr>
          <w:p w:rsidR="00CF2FCB" w:rsidRPr="008F4E9E" w:rsidRDefault="00CF2FCB" w:rsidP="00B82C5C">
            <w:r w:rsidRPr="008F4E9E">
              <w:t>Outros cabos para tensão superior a 1000 V</w:t>
            </w:r>
          </w:p>
        </w:tc>
        <w:tc>
          <w:tcPr>
            <w:tcW w:w="1275" w:type="dxa"/>
            <w:shd w:val="clear" w:color="000000" w:fill="FFFFFF"/>
            <w:noWrap/>
            <w:vAlign w:val="center"/>
            <w:hideMark/>
          </w:tcPr>
          <w:p w:rsidR="00CF2FCB" w:rsidRPr="008F4E9E" w:rsidRDefault="00CF2FCB" w:rsidP="00B82C5C">
            <w:pPr>
              <w:jc w:val="center"/>
            </w:pPr>
            <w:r w:rsidRPr="008F4E9E">
              <w:t>8544.60.00;</w:t>
            </w:r>
          </w:p>
        </w:tc>
      </w:tr>
      <w:tr w:rsidR="00CF2FCB" w:rsidRPr="008F4E9E" w:rsidTr="00B82C5C">
        <w:trPr>
          <w:trHeight w:val="300"/>
        </w:trPr>
        <w:tc>
          <w:tcPr>
            <w:tcW w:w="914" w:type="dxa"/>
            <w:shd w:val="clear" w:color="auto" w:fill="auto"/>
            <w:noWrap/>
            <w:hideMark/>
          </w:tcPr>
          <w:p w:rsidR="00CF2FCB" w:rsidRPr="008F4E9E" w:rsidRDefault="00CF2FCB" w:rsidP="00B82C5C">
            <w:pPr>
              <w:rPr>
                <w:color w:val="000000"/>
              </w:rPr>
            </w:pPr>
            <w:r w:rsidRPr="008F4E9E">
              <w:rPr>
                <w:color w:val="000000"/>
              </w:rPr>
              <w:t>XXXIV</w:t>
            </w:r>
          </w:p>
        </w:tc>
        <w:tc>
          <w:tcPr>
            <w:tcW w:w="220" w:type="dxa"/>
            <w:shd w:val="clear" w:color="auto" w:fill="auto"/>
            <w:noWrap/>
            <w:hideMark/>
          </w:tcPr>
          <w:p w:rsidR="00CF2FCB" w:rsidRPr="008F4E9E" w:rsidRDefault="00CF2FCB" w:rsidP="00B82C5C">
            <w:pPr>
              <w:jc w:val="center"/>
              <w:rPr>
                <w:color w:val="000000"/>
              </w:rPr>
            </w:pPr>
            <w:r w:rsidRPr="008F4E9E">
              <w:rPr>
                <w:color w:val="000000"/>
              </w:rPr>
              <w:t>-</w:t>
            </w:r>
          </w:p>
        </w:tc>
        <w:tc>
          <w:tcPr>
            <w:tcW w:w="6678" w:type="dxa"/>
            <w:shd w:val="clear" w:color="000000" w:fill="FFFFFF"/>
            <w:noWrap/>
            <w:vAlign w:val="bottom"/>
            <w:hideMark/>
          </w:tcPr>
          <w:p w:rsidR="00CF2FCB" w:rsidRPr="008F4E9E" w:rsidRDefault="00CF2FCB" w:rsidP="00B82C5C">
            <w:r w:rsidRPr="008F4E9E">
              <w:t>Outros instrumentos e aparelhos para medida e controle de líquido e etc.</w:t>
            </w:r>
          </w:p>
        </w:tc>
        <w:tc>
          <w:tcPr>
            <w:tcW w:w="1275" w:type="dxa"/>
            <w:shd w:val="clear" w:color="000000" w:fill="FFFFFF"/>
            <w:noWrap/>
            <w:vAlign w:val="center"/>
            <w:hideMark/>
          </w:tcPr>
          <w:p w:rsidR="00CF2FCB" w:rsidRPr="008F4E9E" w:rsidRDefault="00CF2FCB" w:rsidP="00B82C5C">
            <w:pPr>
              <w:jc w:val="center"/>
            </w:pPr>
            <w:r w:rsidRPr="008F4E9E">
              <w:t>9026.80.00;</w:t>
            </w:r>
          </w:p>
        </w:tc>
      </w:tr>
      <w:tr w:rsidR="00CF2FCB" w:rsidRPr="008F4E9E" w:rsidTr="00B82C5C">
        <w:trPr>
          <w:trHeight w:val="300"/>
        </w:trPr>
        <w:tc>
          <w:tcPr>
            <w:tcW w:w="914" w:type="dxa"/>
            <w:shd w:val="clear" w:color="auto" w:fill="auto"/>
            <w:noWrap/>
            <w:hideMark/>
          </w:tcPr>
          <w:p w:rsidR="00CF2FCB" w:rsidRPr="008F4E9E" w:rsidRDefault="00CF2FCB" w:rsidP="00B82C5C">
            <w:pPr>
              <w:rPr>
                <w:color w:val="000000"/>
              </w:rPr>
            </w:pPr>
            <w:r w:rsidRPr="008F4E9E">
              <w:rPr>
                <w:color w:val="000000"/>
              </w:rPr>
              <w:t>XXXV</w:t>
            </w:r>
          </w:p>
        </w:tc>
        <w:tc>
          <w:tcPr>
            <w:tcW w:w="220" w:type="dxa"/>
            <w:shd w:val="clear" w:color="auto" w:fill="auto"/>
            <w:noWrap/>
            <w:hideMark/>
          </w:tcPr>
          <w:p w:rsidR="00CF2FCB" w:rsidRPr="008F4E9E" w:rsidRDefault="00CF2FCB" w:rsidP="00B82C5C">
            <w:pPr>
              <w:jc w:val="center"/>
              <w:rPr>
                <w:color w:val="000000"/>
              </w:rPr>
            </w:pPr>
            <w:r w:rsidRPr="008F4E9E">
              <w:rPr>
                <w:color w:val="000000"/>
              </w:rPr>
              <w:t>-</w:t>
            </w:r>
          </w:p>
        </w:tc>
        <w:tc>
          <w:tcPr>
            <w:tcW w:w="6678" w:type="dxa"/>
            <w:shd w:val="clear" w:color="000000" w:fill="FFFFFF"/>
            <w:noWrap/>
            <w:hideMark/>
          </w:tcPr>
          <w:p w:rsidR="00CF2FCB" w:rsidRPr="008F4E9E" w:rsidRDefault="00CF2FCB" w:rsidP="00B82C5C">
            <w:r w:rsidRPr="008F4E9E">
              <w:t xml:space="preserve">Outros instrumentos, aparelhos e </w:t>
            </w:r>
            <w:proofErr w:type="gramStart"/>
            <w:r w:rsidRPr="008F4E9E">
              <w:t>máquinas</w:t>
            </w:r>
            <w:proofErr w:type="gramEnd"/>
          </w:p>
        </w:tc>
        <w:tc>
          <w:tcPr>
            <w:tcW w:w="1275" w:type="dxa"/>
            <w:shd w:val="clear" w:color="000000" w:fill="FFFFFF"/>
            <w:noWrap/>
            <w:vAlign w:val="center"/>
            <w:hideMark/>
          </w:tcPr>
          <w:p w:rsidR="00CF2FCB" w:rsidRPr="008F4E9E" w:rsidRDefault="00CF2FCB" w:rsidP="00B82C5C">
            <w:pPr>
              <w:jc w:val="center"/>
            </w:pPr>
            <w:r w:rsidRPr="008F4E9E">
              <w:t>9031.80.99 e</w:t>
            </w:r>
          </w:p>
        </w:tc>
      </w:tr>
      <w:tr w:rsidR="00CF2FCB" w:rsidRPr="008F4E9E" w:rsidTr="00B82C5C">
        <w:trPr>
          <w:trHeight w:val="300"/>
        </w:trPr>
        <w:tc>
          <w:tcPr>
            <w:tcW w:w="914" w:type="dxa"/>
            <w:shd w:val="clear" w:color="auto" w:fill="auto"/>
            <w:noWrap/>
            <w:hideMark/>
          </w:tcPr>
          <w:p w:rsidR="00CF2FCB" w:rsidRPr="008F4E9E" w:rsidRDefault="00CF2FCB" w:rsidP="00B82C5C">
            <w:pPr>
              <w:rPr>
                <w:color w:val="000000"/>
              </w:rPr>
            </w:pPr>
            <w:r w:rsidRPr="008F4E9E">
              <w:rPr>
                <w:color w:val="000000"/>
              </w:rPr>
              <w:t>XXXVI</w:t>
            </w:r>
          </w:p>
        </w:tc>
        <w:tc>
          <w:tcPr>
            <w:tcW w:w="220" w:type="dxa"/>
            <w:shd w:val="clear" w:color="auto" w:fill="auto"/>
            <w:noWrap/>
            <w:hideMark/>
          </w:tcPr>
          <w:p w:rsidR="00CF2FCB" w:rsidRPr="008F4E9E" w:rsidRDefault="00CF2FCB" w:rsidP="00B82C5C">
            <w:pPr>
              <w:jc w:val="center"/>
              <w:rPr>
                <w:color w:val="000000"/>
              </w:rPr>
            </w:pPr>
            <w:r w:rsidRPr="008F4E9E">
              <w:rPr>
                <w:color w:val="000000"/>
              </w:rPr>
              <w:t>-</w:t>
            </w:r>
          </w:p>
        </w:tc>
        <w:tc>
          <w:tcPr>
            <w:tcW w:w="6678" w:type="dxa"/>
            <w:shd w:val="clear" w:color="000000" w:fill="FFFFFF"/>
            <w:noWrap/>
            <w:vAlign w:val="bottom"/>
            <w:hideMark/>
          </w:tcPr>
          <w:p w:rsidR="00CF2FCB" w:rsidRPr="008F4E9E" w:rsidRDefault="00CF2FCB" w:rsidP="00B82C5C">
            <w:r w:rsidRPr="008F4E9E">
              <w:t>Outros instrumentos e aparelhos para regulação ou controle de grandezas não elétricas</w:t>
            </w:r>
          </w:p>
        </w:tc>
        <w:tc>
          <w:tcPr>
            <w:tcW w:w="1275" w:type="dxa"/>
            <w:shd w:val="clear" w:color="000000" w:fill="FFFFFF"/>
            <w:noWrap/>
            <w:vAlign w:val="center"/>
            <w:hideMark/>
          </w:tcPr>
          <w:p w:rsidR="00CF2FCB" w:rsidRPr="008F4E9E" w:rsidRDefault="00CF2FCB" w:rsidP="00B82C5C">
            <w:pPr>
              <w:jc w:val="center"/>
            </w:pPr>
            <w:r w:rsidRPr="008F4E9E">
              <w:t>9032.89.89.</w:t>
            </w:r>
          </w:p>
        </w:tc>
      </w:tr>
    </w:tbl>
    <w:p w:rsidR="00CF2FCB" w:rsidRDefault="00CF2FCB" w:rsidP="00B82C5C">
      <w:pPr>
        <w:pStyle w:val="A5-1TextoAcordo"/>
      </w:pPr>
      <w:r w:rsidRPr="008F4E9E">
        <w:rPr>
          <w:rFonts w:ascii="Times New Roman" w:hAnsi="Times New Roman" w:cs="Times New Roman"/>
          <w:sz w:val="24"/>
          <w:szCs w:val="24"/>
        </w:rPr>
        <w:t xml:space="preserve"> </w:t>
      </w:r>
      <w:r w:rsidR="001F50C3" w:rsidRPr="008F4E9E">
        <w:rPr>
          <w:rFonts w:ascii="Times New Roman" w:hAnsi="Times New Roman" w:cs="Times New Roman"/>
          <w:sz w:val="24"/>
          <w:szCs w:val="24"/>
        </w:rPr>
        <w:fldChar w:fldCharType="end"/>
      </w:r>
    </w:p>
    <w:p w:rsidR="009A3BC3" w:rsidRDefault="009A3BC3" w:rsidP="009A3BC3">
      <w:pPr>
        <w:pStyle w:val="05-Pargrafodetexto-CLG"/>
      </w:pPr>
      <w:r>
        <w:rPr>
          <w:b/>
        </w:rPr>
        <w:t xml:space="preserve">Art. </w:t>
      </w:r>
      <w:r w:rsidR="001C0CF5">
        <w:rPr>
          <w:b/>
        </w:rPr>
        <w:t>10</w:t>
      </w:r>
      <w:r w:rsidRPr="0044375B">
        <w:rPr>
          <w:b/>
        </w:rPr>
        <w:t>.</w:t>
      </w:r>
      <w:r>
        <w:rPr>
          <w:b/>
        </w:rPr>
        <w:t xml:space="preserve"> </w:t>
      </w:r>
      <w:r w:rsidRPr="002C48F9">
        <w:t xml:space="preserve">O </w:t>
      </w:r>
      <w:r w:rsidRPr="00D74CBE">
        <w:rPr>
          <w:i/>
        </w:rPr>
        <w:t>caput</w:t>
      </w:r>
      <w:r>
        <w:t xml:space="preserve"> do </w:t>
      </w:r>
      <w:r w:rsidRPr="002C48F9">
        <w:t xml:space="preserve">art. </w:t>
      </w:r>
      <w:r>
        <w:t>4</w:t>
      </w:r>
      <w:r w:rsidRPr="002C48F9">
        <w:t>º da Lei nº 1</w:t>
      </w:r>
      <w:r>
        <w:t>2</w:t>
      </w:r>
      <w:r w:rsidRPr="002C48F9">
        <w:t>.</w:t>
      </w:r>
      <w:r>
        <w:t>715</w:t>
      </w:r>
      <w:r w:rsidRPr="002C48F9">
        <w:t xml:space="preserve">, de </w:t>
      </w:r>
      <w:r>
        <w:t>17</w:t>
      </w:r>
      <w:r w:rsidRPr="002C48F9">
        <w:t xml:space="preserve"> de </w:t>
      </w:r>
      <w:r>
        <w:t>s</w:t>
      </w:r>
      <w:r w:rsidRPr="002C48F9">
        <w:t>e</w:t>
      </w:r>
      <w:r>
        <w:t>t</w:t>
      </w:r>
      <w:r w:rsidRPr="002C48F9">
        <w:t>embro de 20</w:t>
      </w:r>
      <w:r>
        <w:t>12</w:t>
      </w:r>
      <w:r w:rsidRPr="002C48F9">
        <w:t>, passa a vigorar com a seguinte redação:</w:t>
      </w:r>
    </w:p>
    <w:p w:rsidR="009A3BC3" w:rsidRDefault="009A3BC3" w:rsidP="009A3BC3">
      <w:pPr>
        <w:pStyle w:val="07-Citaolegal-CLG"/>
      </w:pPr>
      <w:r>
        <w:t>“Art. 4º</w:t>
      </w:r>
      <w:r w:rsidRPr="00D74CBE">
        <w:t xml:space="preserve"> A União facultará às pessoas físicas, a partir do ano-calendário de 2012 até o ano-calendário de 20</w:t>
      </w:r>
      <w:r>
        <w:t>20</w:t>
      </w:r>
      <w:r w:rsidRPr="00D74CBE">
        <w:t>, e às pessoas jurídicas, a partir do ano-calendário de 2013 até o ano-calendário de 20</w:t>
      </w:r>
      <w:r>
        <w:t>21</w:t>
      </w:r>
      <w:r w:rsidRPr="00D74CBE">
        <w:t>, na qualidade de incentivadoras, a opção de deduzirem do imposto sobre a renda os valores correspondentes às doações e aos patrocínios diretamente efetuados em prol de ações e serviços de que tratam os arts. 1</w:t>
      </w:r>
      <w:r>
        <w:t>º</w:t>
      </w:r>
      <w:r w:rsidRPr="00D74CBE">
        <w:t xml:space="preserve"> a 3</w:t>
      </w:r>
      <w:r>
        <w:t>º</w:t>
      </w:r>
      <w:r w:rsidRPr="00D74CBE">
        <w:t>, previamente aprovados pelo Ministério da Saúde e desenvolvidos pelas instituições destinatárias a que se referem os arts. 2</w:t>
      </w:r>
      <w:r>
        <w:t>º</w:t>
      </w:r>
      <w:r w:rsidRPr="00D74CBE">
        <w:t xml:space="preserve"> e 3</w:t>
      </w:r>
      <w:r>
        <w:t>º.</w:t>
      </w:r>
    </w:p>
    <w:p w:rsidR="009A3BC3" w:rsidRDefault="009A3BC3" w:rsidP="009A3BC3">
      <w:pPr>
        <w:pStyle w:val="08-Citaolegal-ltimalinha-CLG"/>
      </w:pPr>
      <w:r>
        <w:t>................................................................................” (NR)</w:t>
      </w:r>
    </w:p>
    <w:p w:rsidR="00BE13C3" w:rsidRDefault="00BE13C3" w:rsidP="00BE13C3">
      <w:pPr>
        <w:pStyle w:val="05-Pargrafodetexto-CLG"/>
      </w:pPr>
      <w:r w:rsidRPr="00DF5ED1">
        <w:rPr>
          <w:b/>
        </w:rPr>
        <w:t xml:space="preserve">Art. </w:t>
      </w:r>
      <w:r>
        <w:rPr>
          <w:b/>
        </w:rPr>
        <w:t>1</w:t>
      </w:r>
      <w:r w:rsidR="003C0629">
        <w:rPr>
          <w:b/>
        </w:rPr>
        <w:t>1</w:t>
      </w:r>
      <w:r>
        <w:rPr>
          <w:b/>
        </w:rPr>
        <w:t>.</w:t>
      </w:r>
      <w:r>
        <w:t xml:space="preserve"> A Lei nº 9.249, de 26 de dezembro de 1995, passa a vigorar com a seguinte alteraç</w:t>
      </w:r>
      <w:r w:rsidR="00AB75D6">
        <w:t>ã</w:t>
      </w:r>
      <w:r w:rsidR="00D17C43">
        <w:t>o</w:t>
      </w:r>
      <w:r>
        <w:t>:</w:t>
      </w:r>
    </w:p>
    <w:p w:rsidR="00BE13C3" w:rsidRDefault="00BE13C3" w:rsidP="00BE13C3">
      <w:pPr>
        <w:pStyle w:val="08-Citaolegal-ltimalinha-CLG"/>
      </w:pPr>
      <w:r>
        <w:t>“Art. 13-A. Nas sociedades cooperativas, são dedutíveis, para efeito de apuração do resultado das aplicações financeiras e incidência do Imposto de Renda da Pessoa Jurídica e da Contribuição Social sobre o Lucro Líquido, as despesas financeiras dos empréstimos e financiamentos incorridas.”</w:t>
      </w:r>
    </w:p>
    <w:p w:rsidR="00AF2B9F" w:rsidRDefault="00AF2B9F" w:rsidP="00AF2B9F">
      <w:pPr>
        <w:pStyle w:val="05-Pargrafodetexto-CLG"/>
      </w:pPr>
      <w:r w:rsidRPr="00DF5ED1">
        <w:rPr>
          <w:b/>
        </w:rPr>
        <w:t xml:space="preserve">Art. </w:t>
      </w:r>
      <w:r>
        <w:rPr>
          <w:b/>
        </w:rPr>
        <w:t>1</w:t>
      </w:r>
      <w:r w:rsidR="003C0629">
        <w:rPr>
          <w:b/>
        </w:rPr>
        <w:t>2</w:t>
      </w:r>
      <w:r>
        <w:rPr>
          <w:b/>
        </w:rPr>
        <w:t>.</w:t>
      </w:r>
      <w:r>
        <w:t xml:space="preserve"> A Lei nº 11.484, de 31 de maio de 2007, passa a vigorar com as seguinte alteração:</w:t>
      </w:r>
    </w:p>
    <w:p w:rsidR="00AF2B9F" w:rsidRDefault="00AF2B9F" w:rsidP="00AF2B9F">
      <w:pPr>
        <w:pStyle w:val="07-Citaolegal-CLG"/>
      </w:pPr>
      <w:r>
        <w:t>“Art.</w:t>
      </w:r>
      <w:r w:rsidR="00007887">
        <w:t xml:space="preserve"> </w:t>
      </w:r>
      <w:r>
        <w:t>5º .....................................................................................</w:t>
      </w:r>
    </w:p>
    <w:p w:rsidR="00AF2B9F" w:rsidRDefault="00AF2B9F" w:rsidP="00AF2B9F">
      <w:pPr>
        <w:pStyle w:val="07-Citaolegal-CLG"/>
      </w:pPr>
      <w:r>
        <w:t>...................................................................................................</w:t>
      </w:r>
    </w:p>
    <w:p w:rsidR="00AF2B9F" w:rsidRDefault="00AF2B9F" w:rsidP="00AF2B9F">
      <w:pPr>
        <w:pStyle w:val="07-Citaolegal-CLG"/>
      </w:pPr>
      <w:r>
        <w:lastRenderedPageBreak/>
        <w:t>§ 2º. Os projetos poderão ser apresentados até 31 de julho de 2020.</w:t>
      </w:r>
    </w:p>
    <w:p w:rsidR="00AF2B9F" w:rsidRDefault="00AF2B9F" w:rsidP="00AF2B9F">
      <w:pPr>
        <w:pStyle w:val="07-Citaolegal-CLG"/>
        <w:spacing w:after="480"/>
      </w:pPr>
      <w:r>
        <w:t>............................................................................................” (NR)</w:t>
      </w:r>
    </w:p>
    <w:p w:rsidR="00007887" w:rsidRDefault="00007887" w:rsidP="009A3BC3">
      <w:pPr>
        <w:pStyle w:val="05-Pargrafodetexto-CLG"/>
      </w:pPr>
      <w:r>
        <w:rPr>
          <w:b/>
        </w:rPr>
        <w:t xml:space="preserve">Art. 13 </w:t>
      </w:r>
      <w:r>
        <w:t>A Lei nº 9.491, de 9 de setembro de 1997, passa a vigorar com as seguintes alterações:</w:t>
      </w:r>
    </w:p>
    <w:p w:rsidR="00595300" w:rsidRPr="00413D13" w:rsidRDefault="00595300" w:rsidP="00595300">
      <w:pPr>
        <w:pStyle w:val="07-Citaolegal-CLG"/>
      </w:pPr>
      <w:r w:rsidRPr="00413D13">
        <w:t>“Art. 6º ..................................................................................</w:t>
      </w:r>
      <w:r>
        <w:t>.</w:t>
      </w:r>
    </w:p>
    <w:p w:rsidR="00595300" w:rsidRPr="00413D13" w:rsidRDefault="00595300" w:rsidP="00595300">
      <w:pPr>
        <w:pStyle w:val="07-Citaolegal-CLG"/>
      </w:pPr>
      <w:r w:rsidRPr="00413D13">
        <w:t>...............................................................................................</w:t>
      </w:r>
    </w:p>
    <w:p w:rsidR="008878C8" w:rsidRDefault="00595300" w:rsidP="008878C8">
      <w:pPr>
        <w:pStyle w:val="07-Citaolegal-CLG"/>
      </w:pPr>
      <w:r>
        <w:t xml:space="preserve">§ 10. </w:t>
      </w:r>
      <w:r w:rsidR="008878C8">
        <w:t>Fica a Agência Nacional de Energia Elétrica - ANEEL autorizada a anuir com a repactuação, que venha a gerar benefícios potenciais à prestação do serviço público de distribuição de energia, de dívidas setoriais em moeda estrangeira, das empresas incluídas no Programa Nacional de Desestatização – PND a partir de 2015, para que seja convertida em moeda nacional, com remuneração mensal pela variação da taxa do Sistema Especial de Liquidação e de Custódia – SELIC e prazo máximo de 120 meses considerando períodos de carência e de amortização.</w:t>
      </w:r>
    </w:p>
    <w:p w:rsidR="00595300" w:rsidRPr="00413D13" w:rsidRDefault="008878C8" w:rsidP="008878C8">
      <w:pPr>
        <w:pStyle w:val="06-Citaolegal-linhafinal-CLG"/>
      </w:pPr>
      <w:r>
        <w:t>§ 11 Será considerado como data base da repactuação, de que trata o § 10, o primeiro dia útil do ano em que se deu a inclusão da empresa no PND.” (NR)</w:t>
      </w:r>
    </w:p>
    <w:p w:rsidR="009A3BC3" w:rsidRDefault="009A3BC3" w:rsidP="009A3BC3">
      <w:pPr>
        <w:pStyle w:val="05-Pargrafodetexto-CLG"/>
      </w:pPr>
      <w:r w:rsidRPr="0006296F">
        <w:rPr>
          <w:b/>
        </w:rPr>
        <w:t xml:space="preserve">Art. </w:t>
      </w:r>
      <w:r>
        <w:rPr>
          <w:b/>
        </w:rPr>
        <w:t>1</w:t>
      </w:r>
      <w:r w:rsidR="00007887">
        <w:rPr>
          <w:b/>
        </w:rPr>
        <w:t>4</w:t>
      </w:r>
      <w:r w:rsidRPr="0044375B">
        <w:rPr>
          <w:b/>
        </w:rPr>
        <w:t>.</w:t>
      </w:r>
      <w:r>
        <w:t xml:space="preserve"> Esta Lei entra em vigor na data de sua publicação, produzindo efeitos:</w:t>
      </w:r>
    </w:p>
    <w:p w:rsidR="009A3BC3" w:rsidRDefault="009A3BC3" w:rsidP="0038192C">
      <w:pPr>
        <w:pStyle w:val="05-Pargrafodetexto-CLG"/>
      </w:pPr>
      <w:r>
        <w:t>I – a partir do primeiro dia do quarto mês subsequente ao da publicação</w:t>
      </w:r>
      <w:r w:rsidR="00DC536F">
        <w:t xml:space="preserve"> da Medida Provisória nº 675</w:t>
      </w:r>
      <w:r>
        <w:t xml:space="preserve">, </w:t>
      </w:r>
      <w:r w:rsidR="00DC536F">
        <w:t xml:space="preserve">de 21 de maio de 2015, </w:t>
      </w:r>
      <w:r>
        <w:t>em relação</w:t>
      </w:r>
      <w:r w:rsidR="0038192C">
        <w:t xml:space="preserve"> ao</w:t>
      </w:r>
      <w:r>
        <w:t xml:space="preserve"> art. 1º;</w:t>
      </w:r>
    </w:p>
    <w:p w:rsidR="009A3BC3" w:rsidRDefault="009A3BC3" w:rsidP="009A3BC3">
      <w:pPr>
        <w:pStyle w:val="05-Pargrafodetexto-CLG"/>
      </w:pPr>
      <w:r>
        <w:t>I</w:t>
      </w:r>
      <w:r w:rsidR="005F41C7">
        <w:t>I</w:t>
      </w:r>
      <w:r>
        <w:t xml:space="preserve"> – a partir da data de publicação desta Lei, em relação aos demais dispo</w:t>
      </w:r>
      <w:r w:rsidR="00D8346B">
        <w:t>sitivos.</w:t>
      </w:r>
    </w:p>
    <w:p w:rsidR="002568B1" w:rsidRDefault="002568B1" w:rsidP="002568B1">
      <w:pPr>
        <w:pStyle w:val="05-Pargrafodetexto-CLG"/>
      </w:pPr>
      <w:r w:rsidRPr="0006296F">
        <w:rPr>
          <w:b/>
        </w:rPr>
        <w:t xml:space="preserve">Art. </w:t>
      </w:r>
      <w:r>
        <w:rPr>
          <w:b/>
        </w:rPr>
        <w:t>1</w:t>
      </w:r>
      <w:r w:rsidR="00007887">
        <w:rPr>
          <w:b/>
        </w:rPr>
        <w:t>5</w:t>
      </w:r>
      <w:r w:rsidRPr="0044375B">
        <w:rPr>
          <w:b/>
        </w:rPr>
        <w:t>.</w:t>
      </w:r>
      <w:r>
        <w:t xml:space="preserve"> Fica revogado o parágrafo único do art. 6º da Lei nº 9.986, de 18 de julho de 2000.</w:t>
      </w:r>
    </w:p>
    <w:p w:rsidR="009A3BC3" w:rsidRDefault="009A3BC3" w:rsidP="009A3BC3">
      <w:pPr>
        <w:pStyle w:val="10-Local-CLG"/>
      </w:pPr>
      <w:r>
        <w:t>Sala da Comissão,</w:t>
      </w:r>
    </w:p>
    <w:p w:rsidR="009A3BC3" w:rsidRDefault="009A3BC3" w:rsidP="009A3BC3">
      <w:pPr>
        <w:pStyle w:val="11-Assinaturas-CLG"/>
      </w:pPr>
      <w:r>
        <w:t>, Presidente</w:t>
      </w:r>
    </w:p>
    <w:p w:rsidR="002568B1" w:rsidRDefault="00215340" w:rsidP="00215340">
      <w:pPr>
        <w:pStyle w:val="11-Assinaturas-CLG"/>
      </w:pPr>
      <w:r>
        <w:lastRenderedPageBreak/>
        <w:t xml:space="preserve">, </w:t>
      </w:r>
      <w:r w:rsidR="009A3BC3">
        <w:t>Relatora</w:t>
      </w:r>
    </w:p>
    <w:sectPr w:rsidR="002568B1" w:rsidSect="00903277">
      <w:headerReference w:type="even" r:id="rId8"/>
      <w:headerReference w:type="default" r:id="rId9"/>
      <w:footerReference w:type="first" r:id="rId10"/>
      <w:pgSz w:w="11906" w:h="16838"/>
      <w:pgMar w:top="1418" w:right="1701" w:bottom="1418"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59AB" w:rsidRDefault="000659AB" w:rsidP="00863433">
      <w:r>
        <w:separator/>
      </w:r>
    </w:p>
  </w:endnote>
  <w:endnote w:type="continuationSeparator" w:id="0">
    <w:p w:rsidR="000659AB" w:rsidRDefault="000659AB" w:rsidP="0086343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61BB" w:rsidRPr="00342E7D" w:rsidRDefault="003961BB" w:rsidP="0006746F">
    <w:pPr>
      <w:pStyle w:val="Rodap"/>
      <w:rPr>
        <w:i/>
        <w:sz w:val="18"/>
        <w:szCs w:val="18"/>
      </w:rPr>
    </w:pPr>
    <w:r w:rsidRPr="00342E7D">
      <w:rPr>
        <w:i/>
        <w:sz w:val="18"/>
        <w:szCs w:val="18"/>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59AB" w:rsidRDefault="000659AB" w:rsidP="00863433">
      <w:r>
        <w:separator/>
      </w:r>
    </w:p>
  </w:footnote>
  <w:footnote w:type="continuationSeparator" w:id="0">
    <w:p w:rsidR="000659AB" w:rsidRDefault="000659AB" w:rsidP="0086343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61BB" w:rsidRDefault="001F50C3" w:rsidP="0006746F">
    <w:pPr>
      <w:pStyle w:val="Cabealho"/>
      <w:framePr w:wrap="around" w:vAnchor="text" w:hAnchor="margin" w:xAlign="right" w:y="1"/>
      <w:rPr>
        <w:rStyle w:val="Nmerodepgina"/>
      </w:rPr>
    </w:pPr>
    <w:r>
      <w:rPr>
        <w:rStyle w:val="Nmerodepgina"/>
      </w:rPr>
      <w:fldChar w:fldCharType="begin"/>
    </w:r>
    <w:r w:rsidR="003961BB">
      <w:rPr>
        <w:rStyle w:val="Nmerodepgina"/>
      </w:rPr>
      <w:instrText xml:space="preserve">PAGE  </w:instrText>
    </w:r>
    <w:r>
      <w:rPr>
        <w:rStyle w:val="Nmerodepgina"/>
      </w:rPr>
      <w:fldChar w:fldCharType="end"/>
    </w:r>
  </w:p>
  <w:p w:rsidR="003961BB" w:rsidRDefault="003961BB" w:rsidP="0006746F">
    <w:pPr>
      <w:pStyle w:val="Cabealh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61BB" w:rsidRDefault="001F50C3" w:rsidP="0006746F">
    <w:pPr>
      <w:pStyle w:val="Cabealho"/>
      <w:framePr w:wrap="around" w:vAnchor="text" w:hAnchor="margin" w:xAlign="right" w:y="1"/>
      <w:rPr>
        <w:rStyle w:val="Nmerodepgina"/>
      </w:rPr>
    </w:pPr>
    <w:r>
      <w:rPr>
        <w:rStyle w:val="Nmerodepgina"/>
      </w:rPr>
      <w:fldChar w:fldCharType="begin"/>
    </w:r>
    <w:r w:rsidR="003961BB">
      <w:rPr>
        <w:rStyle w:val="Nmerodepgina"/>
      </w:rPr>
      <w:instrText xml:space="preserve">PAGE  </w:instrText>
    </w:r>
    <w:r>
      <w:rPr>
        <w:rStyle w:val="Nmerodepgina"/>
      </w:rPr>
      <w:fldChar w:fldCharType="separate"/>
    </w:r>
    <w:r w:rsidR="00903277">
      <w:rPr>
        <w:rStyle w:val="Nmerodepgina"/>
        <w:noProof/>
      </w:rPr>
      <w:t>4</w:t>
    </w:r>
    <w:r>
      <w:rPr>
        <w:rStyle w:val="Nmerodepgina"/>
      </w:rPr>
      <w:fldChar w:fldCharType="end"/>
    </w:r>
  </w:p>
  <w:p w:rsidR="003961BB" w:rsidRDefault="003961BB" w:rsidP="0006746F">
    <w:pPr>
      <w:pStyle w:val="Cabealho"/>
      <w:ind w:right="360"/>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6D0868FC"/>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F5E04ED"/>
    <w:multiLevelType w:val="hybridMultilevel"/>
    <w:tmpl w:val="3508E44C"/>
    <w:lvl w:ilvl="0" w:tplc="7D303E0A">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nsid w:val="28450DCF"/>
    <w:multiLevelType w:val="hybridMultilevel"/>
    <w:tmpl w:val="9D16EAD6"/>
    <w:lvl w:ilvl="0" w:tplc="FC7EF834">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
    <w:nsid w:val="32BC0A74"/>
    <w:multiLevelType w:val="hybridMultilevel"/>
    <w:tmpl w:val="84C4C87C"/>
    <w:lvl w:ilvl="0" w:tplc="AB36D4F6">
      <w:start w:val="1"/>
      <w:numFmt w:val="lowerLetter"/>
      <w:lvlText w:val="%1)"/>
      <w:lvlJc w:val="left"/>
      <w:pPr>
        <w:ind w:left="2138" w:hanging="360"/>
      </w:pPr>
      <w:rPr>
        <w:rFonts w:hint="default"/>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4">
    <w:nsid w:val="3A9E7729"/>
    <w:multiLevelType w:val="hybridMultilevel"/>
    <w:tmpl w:val="B10E16D2"/>
    <w:lvl w:ilvl="0" w:tplc="157EDBEC">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5">
    <w:nsid w:val="3C280667"/>
    <w:multiLevelType w:val="hybridMultilevel"/>
    <w:tmpl w:val="9814E0BC"/>
    <w:lvl w:ilvl="0" w:tplc="CA34E3CC">
      <w:start w:val="1"/>
      <w:numFmt w:val="decimal"/>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6">
    <w:nsid w:val="4D950E27"/>
    <w:multiLevelType w:val="hybridMultilevel"/>
    <w:tmpl w:val="134810C6"/>
    <w:lvl w:ilvl="0" w:tplc="A59A76AC">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7">
    <w:nsid w:val="5C655C2D"/>
    <w:multiLevelType w:val="hybridMultilevel"/>
    <w:tmpl w:val="4FE678F0"/>
    <w:lvl w:ilvl="0" w:tplc="C308AE0A">
      <w:start w:val="1"/>
      <w:numFmt w:val="low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8">
    <w:nsid w:val="5EA652E6"/>
    <w:multiLevelType w:val="hybridMultilevel"/>
    <w:tmpl w:val="348C31AE"/>
    <w:lvl w:ilvl="0" w:tplc="F85C82B0">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9">
    <w:nsid w:val="602C3379"/>
    <w:multiLevelType w:val="hybridMultilevel"/>
    <w:tmpl w:val="8660B07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72F73363"/>
    <w:multiLevelType w:val="hybridMultilevel"/>
    <w:tmpl w:val="51C8F8A4"/>
    <w:lvl w:ilvl="0" w:tplc="8722C31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5"/>
  </w:num>
  <w:num w:numId="2">
    <w:abstractNumId w:val="6"/>
  </w:num>
  <w:num w:numId="3">
    <w:abstractNumId w:val="0"/>
  </w:num>
  <w:num w:numId="4">
    <w:abstractNumId w:val="8"/>
  </w:num>
  <w:num w:numId="5">
    <w:abstractNumId w:val="9"/>
  </w:num>
  <w:num w:numId="6">
    <w:abstractNumId w:val="10"/>
  </w:num>
  <w:num w:numId="7">
    <w:abstractNumId w:val="7"/>
  </w:num>
  <w:num w:numId="8">
    <w:abstractNumId w:val="1"/>
  </w:num>
  <w:num w:numId="9">
    <w:abstractNumId w:val="2"/>
  </w:num>
  <w:num w:numId="10">
    <w:abstractNumId w:val="3"/>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stylePaneFormatFilter w:val="0701"/>
  <w:defaultTabStop w:val="708"/>
  <w:hyphenationZone w:val="425"/>
  <w:drawingGridHorizontalSpacing w:val="120"/>
  <w:displayHorizontalDrawingGridEvery w:val="2"/>
  <w:characterSpacingControl w:val="doNotCompress"/>
  <w:hdrShapeDefaults>
    <o:shapedefaults v:ext="edit" spidmax="21505"/>
  </w:hdrShapeDefaults>
  <w:footnotePr>
    <w:footnote w:id="-1"/>
    <w:footnote w:id="0"/>
  </w:footnotePr>
  <w:endnotePr>
    <w:endnote w:id="-1"/>
    <w:endnote w:id="0"/>
  </w:endnotePr>
  <w:compat/>
  <w:rsids>
    <w:rsidRoot w:val="00D42D90"/>
    <w:rsid w:val="0000777F"/>
    <w:rsid w:val="00007887"/>
    <w:rsid w:val="00013728"/>
    <w:rsid w:val="000147A2"/>
    <w:rsid w:val="000178A5"/>
    <w:rsid w:val="0002326D"/>
    <w:rsid w:val="00023B2E"/>
    <w:rsid w:val="00035A98"/>
    <w:rsid w:val="00040AD0"/>
    <w:rsid w:val="000438CC"/>
    <w:rsid w:val="00047564"/>
    <w:rsid w:val="00054BC0"/>
    <w:rsid w:val="00061E7A"/>
    <w:rsid w:val="000659AB"/>
    <w:rsid w:val="0006746F"/>
    <w:rsid w:val="000735E7"/>
    <w:rsid w:val="000817E9"/>
    <w:rsid w:val="0008748F"/>
    <w:rsid w:val="00091C7F"/>
    <w:rsid w:val="000940F9"/>
    <w:rsid w:val="000A7A0B"/>
    <w:rsid w:val="000B0DA8"/>
    <w:rsid w:val="000B2340"/>
    <w:rsid w:val="000B39C7"/>
    <w:rsid w:val="000B53B1"/>
    <w:rsid w:val="000B62EC"/>
    <w:rsid w:val="000B6F54"/>
    <w:rsid w:val="000C0E20"/>
    <w:rsid w:val="000C2FB8"/>
    <w:rsid w:val="000C45BC"/>
    <w:rsid w:val="000D1338"/>
    <w:rsid w:val="000D6E3E"/>
    <w:rsid w:val="000E09C1"/>
    <w:rsid w:val="000E552B"/>
    <w:rsid w:val="000E56EB"/>
    <w:rsid w:val="000F4DFD"/>
    <w:rsid w:val="000F77A6"/>
    <w:rsid w:val="00114296"/>
    <w:rsid w:val="00114F62"/>
    <w:rsid w:val="00130214"/>
    <w:rsid w:val="00134A75"/>
    <w:rsid w:val="00137674"/>
    <w:rsid w:val="00145AD8"/>
    <w:rsid w:val="0015172A"/>
    <w:rsid w:val="00155A27"/>
    <w:rsid w:val="00156B43"/>
    <w:rsid w:val="00162B7B"/>
    <w:rsid w:val="0018020A"/>
    <w:rsid w:val="00181AD2"/>
    <w:rsid w:val="001B7F82"/>
    <w:rsid w:val="001C0CF5"/>
    <w:rsid w:val="001C1F99"/>
    <w:rsid w:val="001C2319"/>
    <w:rsid w:val="001D5FD0"/>
    <w:rsid w:val="001D64DE"/>
    <w:rsid w:val="001F250A"/>
    <w:rsid w:val="001F50C3"/>
    <w:rsid w:val="001F5293"/>
    <w:rsid w:val="00202C2B"/>
    <w:rsid w:val="00210844"/>
    <w:rsid w:val="00210DC4"/>
    <w:rsid w:val="00215340"/>
    <w:rsid w:val="00221290"/>
    <w:rsid w:val="002411BF"/>
    <w:rsid w:val="0024596B"/>
    <w:rsid w:val="002568B1"/>
    <w:rsid w:val="00262750"/>
    <w:rsid w:val="00273A94"/>
    <w:rsid w:val="0027639D"/>
    <w:rsid w:val="00276B98"/>
    <w:rsid w:val="00280782"/>
    <w:rsid w:val="002B2D2E"/>
    <w:rsid w:val="002B66CE"/>
    <w:rsid w:val="002C4672"/>
    <w:rsid w:val="002C7F31"/>
    <w:rsid w:val="002D7899"/>
    <w:rsid w:val="002E266D"/>
    <w:rsid w:val="002E6732"/>
    <w:rsid w:val="003015EC"/>
    <w:rsid w:val="003077C7"/>
    <w:rsid w:val="0032402A"/>
    <w:rsid w:val="00327155"/>
    <w:rsid w:val="0033147A"/>
    <w:rsid w:val="003460AB"/>
    <w:rsid w:val="003478A2"/>
    <w:rsid w:val="00351186"/>
    <w:rsid w:val="0035393E"/>
    <w:rsid w:val="0036008D"/>
    <w:rsid w:val="00366D72"/>
    <w:rsid w:val="00370207"/>
    <w:rsid w:val="00372529"/>
    <w:rsid w:val="0037394A"/>
    <w:rsid w:val="00373BAC"/>
    <w:rsid w:val="003756C8"/>
    <w:rsid w:val="00377DAD"/>
    <w:rsid w:val="003805A0"/>
    <w:rsid w:val="0038192C"/>
    <w:rsid w:val="00384B8F"/>
    <w:rsid w:val="003961BB"/>
    <w:rsid w:val="00396C27"/>
    <w:rsid w:val="003A726A"/>
    <w:rsid w:val="003C0115"/>
    <w:rsid w:val="003C0629"/>
    <w:rsid w:val="003C1726"/>
    <w:rsid w:val="003C3C29"/>
    <w:rsid w:val="003C48C3"/>
    <w:rsid w:val="003C6DC6"/>
    <w:rsid w:val="003D0934"/>
    <w:rsid w:val="003D2F01"/>
    <w:rsid w:val="003E05A2"/>
    <w:rsid w:val="003E0B72"/>
    <w:rsid w:val="003E5E95"/>
    <w:rsid w:val="003E6DDC"/>
    <w:rsid w:val="003E7FF4"/>
    <w:rsid w:val="003F09E5"/>
    <w:rsid w:val="0040496F"/>
    <w:rsid w:val="00411631"/>
    <w:rsid w:val="00413D13"/>
    <w:rsid w:val="00415615"/>
    <w:rsid w:val="00424D54"/>
    <w:rsid w:val="00434FB7"/>
    <w:rsid w:val="00442B5B"/>
    <w:rsid w:val="0044375B"/>
    <w:rsid w:val="00445C83"/>
    <w:rsid w:val="004479C7"/>
    <w:rsid w:val="00453659"/>
    <w:rsid w:val="00467558"/>
    <w:rsid w:val="004677F0"/>
    <w:rsid w:val="0047119F"/>
    <w:rsid w:val="00471611"/>
    <w:rsid w:val="00493CC7"/>
    <w:rsid w:val="004A5E8C"/>
    <w:rsid w:val="004A63C0"/>
    <w:rsid w:val="004C410A"/>
    <w:rsid w:val="004D0F32"/>
    <w:rsid w:val="004F0363"/>
    <w:rsid w:val="004F39A2"/>
    <w:rsid w:val="004F4867"/>
    <w:rsid w:val="004F6497"/>
    <w:rsid w:val="005039F7"/>
    <w:rsid w:val="00514416"/>
    <w:rsid w:val="005268E7"/>
    <w:rsid w:val="00547811"/>
    <w:rsid w:val="00553B3E"/>
    <w:rsid w:val="00566008"/>
    <w:rsid w:val="00577075"/>
    <w:rsid w:val="00591284"/>
    <w:rsid w:val="00595300"/>
    <w:rsid w:val="00597404"/>
    <w:rsid w:val="005A0AD6"/>
    <w:rsid w:val="005A16BC"/>
    <w:rsid w:val="005C165F"/>
    <w:rsid w:val="005C2F35"/>
    <w:rsid w:val="005C5658"/>
    <w:rsid w:val="005D0F9C"/>
    <w:rsid w:val="005D6C57"/>
    <w:rsid w:val="005E51F8"/>
    <w:rsid w:val="005F3D00"/>
    <w:rsid w:val="005F41C7"/>
    <w:rsid w:val="005F60D9"/>
    <w:rsid w:val="00600D61"/>
    <w:rsid w:val="00602103"/>
    <w:rsid w:val="006036A6"/>
    <w:rsid w:val="0060391C"/>
    <w:rsid w:val="0061337B"/>
    <w:rsid w:val="00613BCA"/>
    <w:rsid w:val="00615ECB"/>
    <w:rsid w:val="00635C8E"/>
    <w:rsid w:val="006374AB"/>
    <w:rsid w:val="0064570E"/>
    <w:rsid w:val="006547F0"/>
    <w:rsid w:val="00667957"/>
    <w:rsid w:val="00685E14"/>
    <w:rsid w:val="006871AD"/>
    <w:rsid w:val="0068775D"/>
    <w:rsid w:val="006A74C9"/>
    <w:rsid w:val="006C2178"/>
    <w:rsid w:val="006C3676"/>
    <w:rsid w:val="006D46C5"/>
    <w:rsid w:val="006D4C78"/>
    <w:rsid w:val="006E7EB3"/>
    <w:rsid w:val="00700328"/>
    <w:rsid w:val="00710885"/>
    <w:rsid w:val="007239F0"/>
    <w:rsid w:val="00724053"/>
    <w:rsid w:val="00732B39"/>
    <w:rsid w:val="0073529D"/>
    <w:rsid w:val="00735838"/>
    <w:rsid w:val="0075030D"/>
    <w:rsid w:val="007522CD"/>
    <w:rsid w:val="00752A65"/>
    <w:rsid w:val="00764814"/>
    <w:rsid w:val="00764BF1"/>
    <w:rsid w:val="00770DFB"/>
    <w:rsid w:val="00786702"/>
    <w:rsid w:val="00791CD4"/>
    <w:rsid w:val="007A02BA"/>
    <w:rsid w:val="007A5301"/>
    <w:rsid w:val="007A7C58"/>
    <w:rsid w:val="007B6FF8"/>
    <w:rsid w:val="007D0612"/>
    <w:rsid w:val="007D0FB4"/>
    <w:rsid w:val="007D7995"/>
    <w:rsid w:val="00816849"/>
    <w:rsid w:val="00821B80"/>
    <w:rsid w:val="0082323C"/>
    <w:rsid w:val="00836258"/>
    <w:rsid w:val="00836736"/>
    <w:rsid w:val="008378F4"/>
    <w:rsid w:val="00841384"/>
    <w:rsid w:val="00847B59"/>
    <w:rsid w:val="00853D30"/>
    <w:rsid w:val="008618D7"/>
    <w:rsid w:val="00863433"/>
    <w:rsid w:val="008706D4"/>
    <w:rsid w:val="00885457"/>
    <w:rsid w:val="008878C8"/>
    <w:rsid w:val="00894872"/>
    <w:rsid w:val="008C4C48"/>
    <w:rsid w:val="008D44E7"/>
    <w:rsid w:val="008E2C9F"/>
    <w:rsid w:val="008F2C41"/>
    <w:rsid w:val="008F45CF"/>
    <w:rsid w:val="00903277"/>
    <w:rsid w:val="00916C01"/>
    <w:rsid w:val="009177D5"/>
    <w:rsid w:val="00920880"/>
    <w:rsid w:val="00924AC7"/>
    <w:rsid w:val="009359C9"/>
    <w:rsid w:val="00935E46"/>
    <w:rsid w:val="00937552"/>
    <w:rsid w:val="00956E1A"/>
    <w:rsid w:val="00965832"/>
    <w:rsid w:val="00971498"/>
    <w:rsid w:val="00972FD9"/>
    <w:rsid w:val="009732A5"/>
    <w:rsid w:val="009A1AD1"/>
    <w:rsid w:val="009A3BC3"/>
    <w:rsid w:val="009A7266"/>
    <w:rsid w:val="009B0B8B"/>
    <w:rsid w:val="009B4D98"/>
    <w:rsid w:val="009C4F01"/>
    <w:rsid w:val="009D11F1"/>
    <w:rsid w:val="009D1D97"/>
    <w:rsid w:val="009E1B9C"/>
    <w:rsid w:val="009E7CC7"/>
    <w:rsid w:val="009F0F8A"/>
    <w:rsid w:val="009F21A7"/>
    <w:rsid w:val="009F4054"/>
    <w:rsid w:val="009F578B"/>
    <w:rsid w:val="00A009B5"/>
    <w:rsid w:val="00A022B8"/>
    <w:rsid w:val="00A02ADB"/>
    <w:rsid w:val="00A14B54"/>
    <w:rsid w:val="00A14FB3"/>
    <w:rsid w:val="00A1507E"/>
    <w:rsid w:val="00A17FE0"/>
    <w:rsid w:val="00A24EDE"/>
    <w:rsid w:val="00A319E6"/>
    <w:rsid w:val="00A37E5E"/>
    <w:rsid w:val="00A45B0A"/>
    <w:rsid w:val="00A539F8"/>
    <w:rsid w:val="00A628F6"/>
    <w:rsid w:val="00A62A8A"/>
    <w:rsid w:val="00A63600"/>
    <w:rsid w:val="00A6514B"/>
    <w:rsid w:val="00A65B52"/>
    <w:rsid w:val="00A67434"/>
    <w:rsid w:val="00A7133C"/>
    <w:rsid w:val="00A71F21"/>
    <w:rsid w:val="00A80008"/>
    <w:rsid w:val="00A94F9C"/>
    <w:rsid w:val="00AA634C"/>
    <w:rsid w:val="00AA7EE0"/>
    <w:rsid w:val="00AB11FF"/>
    <w:rsid w:val="00AB252A"/>
    <w:rsid w:val="00AB75D6"/>
    <w:rsid w:val="00AC2D55"/>
    <w:rsid w:val="00AD686A"/>
    <w:rsid w:val="00AD73E3"/>
    <w:rsid w:val="00AD7E06"/>
    <w:rsid w:val="00AE1424"/>
    <w:rsid w:val="00AF1B50"/>
    <w:rsid w:val="00AF2459"/>
    <w:rsid w:val="00AF2B9F"/>
    <w:rsid w:val="00AF488E"/>
    <w:rsid w:val="00AF5163"/>
    <w:rsid w:val="00AF623D"/>
    <w:rsid w:val="00B029D6"/>
    <w:rsid w:val="00B036C2"/>
    <w:rsid w:val="00B12306"/>
    <w:rsid w:val="00B14316"/>
    <w:rsid w:val="00B454E7"/>
    <w:rsid w:val="00B642A5"/>
    <w:rsid w:val="00B64471"/>
    <w:rsid w:val="00B7083F"/>
    <w:rsid w:val="00B70ADB"/>
    <w:rsid w:val="00B82C5C"/>
    <w:rsid w:val="00B86220"/>
    <w:rsid w:val="00B87648"/>
    <w:rsid w:val="00BA0A1C"/>
    <w:rsid w:val="00BB191B"/>
    <w:rsid w:val="00BC12C8"/>
    <w:rsid w:val="00BC37EF"/>
    <w:rsid w:val="00BC6905"/>
    <w:rsid w:val="00BD16ED"/>
    <w:rsid w:val="00BE13C3"/>
    <w:rsid w:val="00BE7403"/>
    <w:rsid w:val="00BF17CC"/>
    <w:rsid w:val="00BF47FF"/>
    <w:rsid w:val="00BF4C31"/>
    <w:rsid w:val="00BF5910"/>
    <w:rsid w:val="00C0512F"/>
    <w:rsid w:val="00C1212E"/>
    <w:rsid w:val="00C169B7"/>
    <w:rsid w:val="00C230AF"/>
    <w:rsid w:val="00C30A20"/>
    <w:rsid w:val="00C333A2"/>
    <w:rsid w:val="00C34A04"/>
    <w:rsid w:val="00C422EC"/>
    <w:rsid w:val="00C57FD2"/>
    <w:rsid w:val="00C6797E"/>
    <w:rsid w:val="00C70E94"/>
    <w:rsid w:val="00CA3124"/>
    <w:rsid w:val="00CC4211"/>
    <w:rsid w:val="00CC53C0"/>
    <w:rsid w:val="00CE6D6A"/>
    <w:rsid w:val="00CE7648"/>
    <w:rsid w:val="00CF12AF"/>
    <w:rsid w:val="00CF2FCB"/>
    <w:rsid w:val="00CF3871"/>
    <w:rsid w:val="00CF4A88"/>
    <w:rsid w:val="00D04CD9"/>
    <w:rsid w:val="00D1479C"/>
    <w:rsid w:val="00D14929"/>
    <w:rsid w:val="00D17C43"/>
    <w:rsid w:val="00D23A06"/>
    <w:rsid w:val="00D42D90"/>
    <w:rsid w:val="00D50857"/>
    <w:rsid w:val="00D50EC2"/>
    <w:rsid w:val="00D52740"/>
    <w:rsid w:val="00D56FA4"/>
    <w:rsid w:val="00D60469"/>
    <w:rsid w:val="00D6247C"/>
    <w:rsid w:val="00D7221B"/>
    <w:rsid w:val="00D8346B"/>
    <w:rsid w:val="00D850C0"/>
    <w:rsid w:val="00DA4AC4"/>
    <w:rsid w:val="00DB4612"/>
    <w:rsid w:val="00DC536F"/>
    <w:rsid w:val="00DD30B7"/>
    <w:rsid w:val="00DD7615"/>
    <w:rsid w:val="00DF0228"/>
    <w:rsid w:val="00DF4457"/>
    <w:rsid w:val="00DF7ED3"/>
    <w:rsid w:val="00E01F78"/>
    <w:rsid w:val="00E028E8"/>
    <w:rsid w:val="00E04BEE"/>
    <w:rsid w:val="00E124D5"/>
    <w:rsid w:val="00E14C32"/>
    <w:rsid w:val="00E3497F"/>
    <w:rsid w:val="00E36EAC"/>
    <w:rsid w:val="00E4293A"/>
    <w:rsid w:val="00E55356"/>
    <w:rsid w:val="00E61FB4"/>
    <w:rsid w:val="00E656D5"/>
    <w:rsid w:val="00E713F1"/>
    <w:rsid w:val="00E7166D"/>
    <w:rsid w:val="00E836FC"/>
    <w:rsid w:val="00E87394"/>
    <w:rsid w:val="00E922BD"/>
    <w:rsid w:val="00EA6EFD"/>
    <w:rsid w:val="00EA75CD"/>
    <w:rsid w:val="00EB64F8"/>
    <w:rsid w:val="00EB7AEB"/>
    <w:rsid w:val="00EC23C2"/>
    <w:rsid w:val="00EC5321"/>
    <w:rsid w:val="00EE06B5"/>
    <w:rsid w:val="00EE2967"/>
    <w:rsid w:val="00EF595F"/>
    <w:rsid w:val="00EF6511"/>
    <w:rsid w:val="00F11F67"/>
    <w:rsid w:val="00F16B81"/>
    <w:rsid w:val="00F3096B"/>
    <w:rsid w:val="00F34A6B"/>
    <w:rsid w:val="00F362DD"/>
    <w:rsid w:val="00F61085"/>
    <w:rsid w:val="00F623EC"/>
    <w:rsid w:val="00F64311"/>
    <w:rsid w:val="00F73F17"/>
    <w:rsid w:val="00F82B58"/>
    <w:rsid w:val="00F87863"/>
    <w:rsid w:val="00F91184"/>
    <w:rsid w:val="00FA0D80"/>
    <w:rsid w:val="00FB5987"/>
    <w:rsid w:val="00FC384E"/>
    <w:rsid w:val="00FC3B89"/>
    <w:rsid w:val="00FD063F"/>
    <w:rsid w:val="00FF393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15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247C"/>
    <w:rPr>
      <w:rFonts w:eastAsia="Times New Roman"/>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63433"/>
    <w:pPr>
      <w:tabs>
        <w:tab w:val="center" w:pos="4252"/>
        <w:tab w:val="right" w:pos="8504"/>
      </w:tabs>
    </w:pPr>
  </w:style>
  <w:style w:type="character" w:customStyle="1" w:styleId="CabealhoChar">
    <w:name w:val="Cabeçalho Char"/>
    <w:basedOn w:val="Fontepargpadro"/>
    <w:link w:val="Cabealho"/>
    <w:uiPriority w:val="99"/>
    <w:rsid w:val="00863433"/>
  </w:style>
  <w:style w:type="paragraph" w:customStyle="1" w:styleId="01-Minuta-CLG">
    <w:name w:val="01 - Minuta - CLG"/>
    <w:link w:val="01-Minuta-CLGChar"/>
    <w:rsid w:val="00D42D90"/>
    <w:pPr>
      <w:spacing w:after="180"/>
      <w:jc w:val="center"/>
    </w:pPr>
    <w:rPr>
      <w:rFonts w:eastAsia="Times New Roman"/>
      <w:sz w:val="24"/>
    </w:rPr>
  </w:style>
  <w:style w:type="character" w:customStyle="1" w:styleId="01-Minuta-CLGChar">
    <w:name w:val="01 - Minuta - CLG Char"/>
    <w:link w:val="01-Minuta-CLG"/>
    <w:rsid w:val="000147A2"/>
    <w:rPr>
      <w:rFonts w:eastAsia="Times New Roman"/>
      <w:sz w:val="24"/>
      <w:lang w:bidi="ar-SA"/>
    </w:rPr>
  </w:style>
  <w:style w:type="paragraph" w:customStyle="1" w:styleId="02-TtuloPrincipal-CLG">
    <w:name w:val="02 - Título Principal - CLG"/>
    <w:link w:val="02-TtuloPrincipal-CLGChar"/>
    <w:rsid w:val="00D42D90"/>
    <w:pPr>
      <w:spacing w:after="960"/>
      <w:jc w:val="center"/>
    </w:pPr>
    <w:rPr>
      <w:rFonts w:eastAsia="Times New Roman"/>
      <w:b/>
      <w:bCs/>
      <w:sz w:val="32"/>
    </w:rPr>
  </w:style>
  <w:style w:type="character" w:customStyle="1" w:styleId="02-TtuloPrincipal-CLGChar">
    <w:name w:val="02 - Título Principal - CLG Char"/>
    <w:link w:val="02-TtuloPrincipal-CLG"/>
    <w:rsid w:val="000147A2"/>
    <w:rPr>
      <w:rFonts w:eastAsia="Times New Roman"/>
      <w:b/>
      <w:bCs/>
      <w:sz w:val="32"/>
      <w:lang w:bidi="ar-SA"/>
    </w:rPr>
  </w:style>
  <w:style w:type="paragraph" w:customStyle="1" w:styleId="03-Ementa-CLG">
    <w:name w:val="03 - Ementa - CLG"/>
    <w:link w:val="03-Ementa-CLGCharChar"/>
    <w:rsid w:val="00D42D90"/>
    <w:pPr>
      <w:spacing w:after="960"/>
      <w:ind w:left="3686"/>
      <w:jc w:val="both"/>
    </w:pPr>
    <w:rPr>
      <w:rFonts w:eastAsia="Arial Unicode MS"/>
      <w:sz w:val="24"/>
      <w:szCs w:val="24"/>
    </w:rPr>
  </w:style>
  <w:style w:type="character" w:customStyle="1" w:styleId="03-Ementa-CLGCharChar">
    <w:name w:val="03 - Ementa - CLG Char Char"/>
    <w:link w:val="03-Ementa-CLG"/>
    <w:rsid w:val="000147A2"/>
    <w:rPr>
      <w:rFonts w:eastAsia="Arial Unicode MS"/>
      <w:sz w:val="24"/>
      <w:szCs w:val="24"/>
      <w:lang w:bidi="ar-SA"/>
    </w:rPr>
  </w:style>
  <w:style w:type="paragraph" w:customStyle="1" w:styleId="04-Relatoria-CLG">
    <w:name w:val="04 - Relatoria - CLG"/>
    <w:link w:val="04-Relatoria-CLGChar"/>
    <w:rsid w:val="00D42D90"/>
    <w:pPr>
      <w:spacing w:after="960"/>
      <w:ind w:left="1440"/>
    </w:pPr>
    <w:rPr>
      <w:rFonts w:eastAsia="Times New Roman"/>
      <w:sz w:val="28"/>
    </w:rPr>
  </w:style>
  <w:style w:type="character" w:customStyle="1" w:styleId="04-Relatoria-CLGChar">
    <w:name w:val="04 - Relatoria - CLG Char"/>
    <w:link w:val="04-Relatoria-CLG"/>
    <w:rsid w:val="000147A2"/>
    <w:rPr>
      <w:rFonts w:eastAsia="Times New Roman"/>
      <w:sz w:val="28"/>
      <w:lang w:bidi="ar-SA"/>
    </w:rPr>
  </w:style>
  <w:style w:type="paragraph" w:customStyle="1" w:styleId="05-Subttulo-CLG">
    <w:name w:val="05 - Subtítulo - CLG"/>
    <w:link w:val="05-Subttulo-CLGChar"/>
    <w:rsid w:val="00D42D90"/>
    <w:pPr>
      <w:spacing w:after="480"/>
      <w:jc w:val="both"/>
    </w:pPr>
    <w:rPr>
      <w:rFonts w:eastAsia="Times New Roman"/>
      <w:b/>
      <w:bCs/>
      <w:sz w:val="28"/>
    </w:rPr>
  </w:style>
  <w:style w:type="character" w:customStyle="1" w:styleId="05-Subttulo-CLGChar">
    <w:name w:val="05 - Subtítulo - CLG Char"/>
    <w:link w:val="05-Subttulo-CLG"/>
    <w:rsid w:val="000147A2"/>
    <w:rPr>
      <w:rFonts w:eastAsia="Times New Roman"/>
      <w:b/>
      <w:bCs/>
      <w:sz w:val="28"/>
      <w:lang w:bidi="ar-SA"/>
    </w:rPr>
  </w:style>
  <w:style w:type="paragraph" w:customStyle="1" w:styleId="06-Pargrafodetexto-CLG">
    <w:name w:val="06 - Parágrafo de texto - CLG"/>
    <w:link w:val="06-Pargrafodetexto-CLGChar"/>
    <w:rsid w:val="00D42D90"/>
    <w:pPr>
      <w:spacing w:after="360"/>
      <w:ind w:firstLine="1418"/>
      <w:jc w:val="both"/>
    </w:pPr>
    <w:rPr>
      <w:rFonts w:eastAsia="Times New Roman"/>
      <w:sz w:val="28"/>
    </w:rPr>
  </w:style>
  <w:style w:type="character" w:customStyle="1" w:styleId="06-Pargrafodetexto-CLGChar">
    <w:name w:val="06 - Parágrafo de texto - CLG Char"/>
    <w:link w:val="06-Pargrafodetexto-CLG"/>
    <w:rsid w:val="000147A2"/>
    <w:rPr>
      <w:rFonts w:eastAsia="Times New Roman"/>
      <w:sz w:val="28"/>
      <w:lang w:bidi="ar-SA"/>
    </w:rPr>
  </w:style>
  <w:style w:type="paragraph" w:customStyle="1" w:styleId="07-Citaolegal-CLG">
    <w:name w:val="07 - Citação legal - CLG"/>
    <w:rsid w:val="00D42D90"/>
    <w:pPr>
      <w:spacing w:after="120"/>
      <w:ind w:left="1985" w:firstLine="567"/>
      <w:jc w:val="both"/>
    </w:pPr>
    <w:rPr>
      <w:rFonts w:eastAsia="Times New Roman"/>
      <w:bCs/>
      <w:sz w:val="24"/>
    </w:rPr>
  </w:style>
  <w:style w:type="paragraph" w:customStyle="1" w:styleId="08-Citaolegal-ltimalinha-CLG">
    <w:name w:val="08 - Citação legal - última linha - CLG"/>
    <w:rsid w:val="00D42D90"/>
    <w:pPr>
      <w:spacing w:after="480"/>
      <w:ind w:left="1985" w:firstLine="567"/>
      <w:jc w:val="both"/>
    </w:pPr>
    <w:rPr>
      <w:rFonts w:eastAsia="Times New Roman"/>
      <w:sz w:val="24"/>
    </w:rPr>
  </w:style>
  <w:style w:type="paragraph" w:customStyle="1" w:styleId="09-Ttuloemenda-CLG">
    <w:name w:val="09 - Título emenda - CLG"/>
    <w:rsid w:val="00D42D90"/>
    <w:pPr>
      <w:spacing w:before="480" w:after="360"/>
      <w:jc w:val="center"/>
    </w:pPr>
    <w:rPr>
      <w:rFonts w:eastAsia="Times New Roman"/>
      <w:b/>
      <w:bCs/>
      <w:spacing w:val="-4"/>
      <w:sz w:val="28"/>
    </w:rPr>
  </w:style>
  <w:style w:type="paragraph" w:customStyle="1" w:styleId="10-Local-CLG">
    <w:name w:val="10 - Local - CLG"/>
    <w:link w:val="10-Local-CLGChar"/>
    <w:rsid w:val="00D42D90"/>
    <w:pPr>
      <w:spacing w:before="960" w:after="720"/>
      <w:ind w:firstLine="2520"/>
      <w:jc w:val="both"/>
    </w:pPr>
    <w:rPr>
      <w:rFonts w:eastAsia="Times New Roman"/>
      <w:sz w:val="28"/>
    </w:rPr>
  </w:style>
  <w:style w:type="character" w:customStyle="1" w:styleId="10-Local-CLGChar">
    <w:name w:val="10 - Local - CLG Char"/>
    <w:link w:val="10-Local-CLG"/>
    <w:rsid w:val="000147A2"/>
    <w:rPr>
      <w:rFonts w:eastAsia="Times New Roman"/>
      <w:sz w:val="28"/>
      <w:lang w:bidi="ar-SA"/>
    </w:rPr>
  </w:style>
  <w:style w:type="paragraph" w:customStyle="1" w:styleId="11-Assinaturas-CLG">
    <w:name w:val="11 - Assinaturas - CLG"/>
    <w:link w:val="11-Assinaturas-CLGChar"/>
    <w:rsid w:val="00D42D90"/>
    <w:pPr>
      <w:spacing w:after="960"/>
      <w:ind w:left="6240"/>
      <w:jc w:val="both"/>
    </w:pPr>
    <w:rPr>
      <w:rFonts w:eastAsia="Times New Roman"/>
      <w:sz w:val="28"/>
    </w:rPr>
  </w:style>
  <w:style w:type="character" w:customStyle="1" w:styleId="11-Assinaturas-CLGChar">
    <w:name w:val="11 - Assinaturas - CLG Char"/>
    <w:link w:val="11-Assinaturas-CLG"/>
    <w:rsid w:val="000147A2"/>
    <w:rPr>
      <w:rFonts w:eastAsia="Times New Roman"/>
      <w:sz w:val="28"/>
      <w:lang w:bidi="ar-SA"/>
    </w:rPr>
  </w:style>
  <w:style w:type="paragraph" w:styleId="Rodap">
    <w:name w:val="footer"/>
    <w:basedOn w:val="Normal"/>
    <w:link w:val="RodapChar"/>
    <w:uiPriority w:val="99"/>
    <w:unhideWhenUsed/>
    <w:rsid w:val="00863433"/>
    <w:pPr>
      <w:tabs>
        <w:tab w:val="center" w:pos="4252"/>
        <w:tab w:val="right" w:pos="8504"/>
      </w:tabs>
    </w:pPr>
  </w:style>
  <w:style w:type="character" w:customStyle="1" w:styleId="RodapChar">
    <w:name w:val="Rodapé Char"/>
    <w:basedOn w:val="Fontepargpadro"/>
    <w:link w:val="Rodap"/>
    <w:uiPriority w:val="99"/>
    <w:rsid w:val="00863433"/>
  </w:style>
  <w:style w:type="paragraph" w:customStyle="1" w:styleId="04-PargrafodetextoEstudoNotas-CLG">
    <w:name w:val="04 - Parágrafo de texto Estudo Notas - CLG"/>
    <w:link w:val="04-PargrafodetextoEstudoNotas-CLGChar"/>
    <w:rsid w:val="00EE06B5"/>
    <w:pPr>
      <w:spacing w:after="360" w:line="360" w:lineRule="auto"/>
      <w:ind w:firstLine="1418"/>
      <w:jc w:val="both"/>
    </w:pPr>
    <w:rPr>
      <w:rFonts w:eastAsia="Times New Roman"/>
      <w:sz w:val="28"/>
    </w:rPr>
  </w:style>
  <w:style w:type="character" w:customStyle="1" w:styleId="04-PargrafodetextoEstudoNotas-CLGChar">
    <w:name w:val="04 - Parágrafo de texto Estudo Notas - CLG Char"/>
    <w:basedOn w:val="Fontepargpadro"/>
    <w:link w:val="04-PargrafodetextoEstudoNotas-CLG"/>
    <w:rsid w:val="00EE06B5"/>
    <w:rPr>
      <w:rFonts w:eastAsia="Times New Roman"/>
      <w:sz w:val="28"/>
      <w:lang w:val="pt-BR" w:eastAsia="pt-BR" w:bidi="ar-SA"/>
    </w:rPr>
  </w:style>
  <w:style w:type="paragraph" w:styleId="Textodebalo">
    <w:name w:val="Balloon Text"/>
    <w:basedOn w:val="Normal"/>
    <w:link w:val="TextodebaloChar"/>
    <w:semiHidden/>
    <w:unhideWhenUsed/>
    <w:rsid w:val="00BB191B"/>
    <w:pPr>
      <w:spacing w:after="200" w:line="276" w:lineRule="auto"/>
    </w:pPr>
    <w:rPr>
      <w:rFonts w:ascii="Tahoma" w:eastAsia="Calibri" w:hAnsi="Tahoma" w:cs="Tahoma"/>
      <w:sz w:val="16"/>
      <w:szCs w:val="16"/>
    </w:rPr>
  </w:style>
  <w:style w:type="character" w:customStyle="1" w:styleId="TextodebaloChar">
    <w:name w:val="Texto de balão Char"/>
    <w:basedOn w:val="Fontepargpadro"/>
    <w:link w:val="Textodebalo"/>
    <w:uiPriority w:val="99"/>
    <w:semiHidden/>
    <w:rsid w:val="00BB191B"/>
    <w:rPr>
      <w:rFonts w:ascii="Tahoma" w:eastAsia="Calibri" w:hAnsi="Tahoma" w:cs="Tahoma"/>
      <w:sz w:val="16"/>
      <w:szCs w:val="16"/>
    </w:rPr>
  </w:style>
  <w:style w:type="paragraph" w:customStyle="1" w:styleId="06-Citaolegal-linhafinal-CLG">
    <w:name w:val="06 - Citação legal - linha final - CLG"/>
    <w:rsid w:val="00A94F9C"/>
    <w:pPr>
      <w:spacing w:after="480"/>
      <w:ind w:left="1985" w:firstLine="567"/>
      <w:jc w:val="both"/>
    </w:pPr>
    <w:rPr>
      <w:rFonts w:eastAsia="Times New Roman"/>
      <w:sz w:val="24"/>
    </w:rPr>
  </w:style>
  <w:style w:type="paragraph" w:customStyle="1" w:styleId="03-SubttuloEstudoNota-CLG">
    <w:name w:val="03 - Subtítulo Estudo Nota - CLG"/>
    <w:link w:val="03-SubttuloEstudoNota-CLGChar"/>
    <w:rsid w:val="00D6247C"/>
    <w:pPr>
      <w:spacing w:after="360" w:line="420" w:lineRule="exact"/>
      <w:ind w:left="357" w:hanging="357"/>
    </w:pPr>
    <w:rPr>
      <w:rFonts w:eastAsia="Times New Roman"/>
      <w:sz w:val="28"/>
    </w:rPr>
  </w:style>
  <w:style w:type="character" w:customStyle="1" w:styleId="03-SubttuloEstudoNota-CLGChar">
    <w:name w:val="03 - Subtítulo Estudo Nota - CLG Char"/>
    <w:basedOn w:val="Fontepargpadro"/>
    <w:link w:val="03-SubttuloEstudoNota-CLG"/>
    <w:rsid w:val="00D6247C"/>
    <w:rPr>
      <w:rFonts w:eastAsia="Times New Roman"/>
      <w:sz w:val="28"/>
      <w:lang w:val="pt-BR" w:eastAsia="pt-BR" w:bidi="ar-SA"/>
    </w:rPr>
  </w:style>
  <w:style w:type="paragraph" w:styleId="Corpodetexto">
    <w:name w:val="Body Text"/>
    <w:basedOn w:val="Normal"/>
    <w:link w:val="CorpodetextoChar"/>
    <w:qFormat/>
    <w:rsid w:val="00937552"/>
    <w:pPr>
      <w:autoSpaceDE w:val="0"/>
      <w:autoSpaceDN w:val="0"/>
      <w:adjustRightInd w:val="0"/>
      <w:ind w:left="3" w:hanging="53"/>
    </w:pPr>
    <w:rPr>
      <w:rFonts w:ascii="Calibri" w:eastAsia="Calibri" w:hAnsi="Calibri" w:cs="Calibri"/>
      <w:b/>
      <w:bCs/>
      <w:sz w:val="12"/>
      <w:szCs w:val="12"/>
      <w:lang w:eastAsia="en-US"/>
    </w:rPr>
  </w:style>
  <w:style w:type="character" w:customStyle="1" w:styleId="CorpodetextoChar">
    <w:name w:val="Corpo de texto Char"/>
    <w:basedOn w:val="Fontepargpadro"/>
    <w:link w:val="Corpodetexto"/>
    <w:uiPriority w:val="1"/>
    <w:rsid w:val="00937552"/>
    <w:rPr>
      <w:rFonts w:ascii="Calibri" w:hAnsi="Calibri" w:cs="Calibri"/>
      <w:b/>
      <w:bCs/>
      <w:sz w:val="12"/>
      <w:szCs w:val="12"/>
    </w:rPr>
  </w:style>
  <w:style w:type="paragraph" w:styleId="PargrafodaLista">
    <w:name w:val="List Paragraph"/>
    <w:basedOn w:val="Normal"/>
    <w:uiPriority w:val="34"/>
    <w:qFormat/>
    <w:rsid w:val="00937552"/>
    <w:pPr>
      <w:autoSpaceDE w:val="0"/>
      <w:autoSpaceDN w:val="0"/>
      <w:adjustRightInd w:val="0"/>
    </w:pPr>
    <w:rPr>
      <w:rFonts w:eastAsia="Calibri"/>
      <w:lang w:eastAsia="en-US"/>
    </w:rPr>
  </w:style>
  <w:style w:type="paragraph" w:customStyle="1" w:styleId="TableParagraph">
    <w:name w:val="Table Paragraph"/>
    <w:basedOn w:val="Normal"/>
    <w:uiPriority w:val="1"/>
    <w:qFormat/>
    <w:rsid w:val="00937552"/>
    <w:pPr>
      <w:autoSpaceDE w:val="0"/>
      <w:autoSpaceDN w:val="0"/>
      <w:adjustRightInd w:val="0"/>
    </w:pPr>
    <w:rPr>
      <w:rFonts w:eastAsia="Calibri"/>
      <w:lang w:eastAsia="en-US"/>
    </w:rPr>
  </w:style>
  <w:style w:type="paragraph" w:styleId="Commarcadores">
    <w:name w:val="List Bullet"/>
    <w:basedOn w:val="Normal"/>
    <w:uiPriority w:val="99"/>
    <w:unhideWhenUsed/>
    <w:rsid w:val="0047119F"/>
    <w:pPr>
      <w:numPr>
        <w:numId w:val="3"/>
      </w:numPr>
      <w:contextualSpacing/>
    </w:pPr>
  </w:style>
  <w:style w:type="paragraph" w:customStyle="1" w:styleId="05-Pargrafodetexto-CLG">
    <w:name w:val="05 - Parágrafo de texto - CLG"/>
    <w:link w:val="05-Pargrafodetexto-CLGChar"/>
    <w:rsid w:val="005E51F8"/>
    <w:pPr>
      <w:spacing w:after="360"/>
      <w:ind w:firstLine="1418"/>
      <w:jc w:val="both"/>
    </w:pPr>
    <w:rPr>
      <w:rFonts w:eastAsia="Times New Roman"/>
      <w:sz w:val="28"/>
    </w:rPr>
  </w:style>
  <w:style w:type="character" w:customStyle="1" w:styleId="05-Pargrafodetexto-CLGChar">
    <w:name w:val="05 - Parágrafo de texto - CLG Char"/>
    <w:link w:val="05-Pargrafodetexto-CLG"/>
    <w:rsid w:val="000147A2"/>
    <w:rPr>
      <w:rFonts w:eastAsia="Times New Roman"/>
      <w:sz w:val="28"/>
      <w:lang w:bidi="ar-SA"/>
    </w:rPr>
  </w:style>
  <w:style w:type="character" w:styleId="Nmerodepgina">
    <w:name w:val="page number"/>
    <w:basedOn w:val="Fontepargpadro"/>
    <w:semiHidden/>
    <w:rsid w:val="000147A2"/>
  </w:style>
  <w:style w:type="character" w:customStyle="1" w:styleId="03-Ementa-CLGChar">
    <w:name w:val="03 - Ementa - CLG Char"/>
    <w:rsid w:val="000147A2"/>
    <w:rPr>
      <w:bCs/>
      <w:i/>
      <w:iCs/>
      <w:sz w:val="24"/>
      <w:szCs w:val="24"/>
      <w:lang w:val="pt-BR" w:eastAsia="pt-BR" w:bidi="ar-SA"/>
    </w:rPr>
  </w:style>
  <w:style w:type="paragraph" w:customStyle="1" w:styleId="Default">
    <w:name w:val="Default"/>
    <w:rsid w:val="000147A2"/>
    <w:pPr>
      <w:autoSpaceDE w:val="0"/>
      <w:autoSpaceDN w:val="0"/>
      <w:adjustRightInd w:val="0"/>
    </w:pPr>
    <w:rPr>
      <w:rFonts w:eastAsia="Times New Roman"/>
      <w:color w:val="000000"/>
      <w:sz w:val="24"/>
      <w:szCs w:val="24"/>
    </w:rPr>
  </w:style>
  <w:style w:type="paragraph" w:styleId="Textodenotaderodap">
    <w:name w:val="footnote text"/>
    <w:basedOn w:val="Normal"/>
    <w:link w:val="TextodenotaderodapChar"/>
    <w:semiHidden/>
    <w:unhideWhenUsed/>
    <w:rsid w:val="000147A2"/>
    <w:pPr>
      <w:spacing w:after="200" w:line="276" w:lineRule="auto"/>
    </w:pPr>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semiHidden/>
    <w:rsid w:val="000147A2"/>
    <w:rPr>
      <w:rFonts w:ascii="Calibri" w:hAnsi="Calibri"/>
      <w:lang w:eastAsia="en-US"/>
    </w:rPr>
  </w:style>
  <w:style w:type="character" w:styleId="Refdenotaderodap">
    <w:name w:val="footnote reference"/>
    <w:semiHidden/>
    <w:unhideWhenUsed/>
    <w:rsid w:val="000147A2"/>
    <w:rPr>
      <w:vertAlign w:val="superscript"/>
    </w:rPr>
  </w:style>
  <w:style w:type="character" w:styleId="Refdecomentrio">
    <w:name w:val="annotation reference"/>
    <w:semiHidden/>
    <w:rsid w:val="000147A2"/>
    <w:rPr>
      <w:sz w:val="16"/>
      <w:szCs w:val="16"/>
    </w:rPr>
  </w:style>
  <w:style w:type="character" w:customStyle="1" w:styleId="TextodecomentrioChar">
    <w:name w:val="Texto de comentário Char"/>
    <w:basedOn w:val="Fontepargpadro"/>
    <w:link w:val="Textodecomentrio"/>
    <w:semiHidden/>
    <w:rsid w:val="000147A2"/>
    <w:rPr>
      <w:rFonts w:eastAsia="Times New Roman"/>
    </w:rPr>
  </w:style>
  <w:style w:type="paragraph" w:styleId="Textodecomentrio">
    <w:name w:val="annotation text"/>
    <w:basedOn w:val="Normal"/>
    <w:link w:val="TextodecomentrioChar"/>
    <w:semiHidden/>
    <w:rsid w:val="000147A2"/>
    <w:rPr>
      <w:sz w:val="20"/>
      <w:szCs w:val="20"/>
    </w:rPr>
  </w:style>
  <w:style w:type="character" w:customStyle="1" w:styleId="AssuntodocomentrioChar">
    <w:name w:val="Assunto do comentário Char"/>
    <w:basedOn w:val="TextodecomentrioChar"/>
    <w:link w:val="Assuntodocomentrio"/>
    <w:semiHidden/>
    <w:rsid w:val="000147A2"/>
    <w:rPr>
      <w:b/>
      <w:bCs/>
    </w:rPr>
  </w:style>
  <w:style w:type="paragraph" w:styleId="Assuntodocomentrio">
    <w:name w:val="annotation subject"/>
    <w:basedOn w:val="Textodecomentrio"/>
    <w:next w:val="Textodecomentrio"/>
    <w:link w:val="AssuntodocomentrioChar"/>
    <w:semiHidden/>
    <w:rsid w:val="000147A2"/>
    <w:rPr>
      <w:b/>
      <w:bCs/>
    </w:rPr>
  </w:style>
  <w:style w:type="paragraph" w:customStyle="1" w:styleId="Recuodecorpodetexto21">
    <w:name w:val="Recuo de corpo de texto 21"/>
    <w:basedOn w:val="Normal"/>
    <w:rsid w:val="000147A2"/>
    <w:pPr>
      <w:spacing w:before="120" w:after="120"/>
      <w:ind w:firstLine="1701"/>
      <w:jc w:val="both"/>
    </w:pPr>
    <w:rPr>
      <w:sz w:val="28"/>
      <w:szCs w:val="20"/>
    </w:rPr>
  </w:style>
  <w:style w:type="character" w:styleId="Hyperlink">
    <w:name w:val="Hyperlink"/>
    <w:basedOn w:val="Fontepargpadro"/>
    <w:uiPriority w:val="99"/>
    <w:unhideWhenUsed/>
    <w:rsid w:val="000147A2"/>
    <w:rPr>
      <w:color w:val="0000FF"/>
      <w:u w:val="single"/>
    </w:rPr>
  </w:style>
  <w:style w:type="paragraph" w:styleId="NormalWeb">
    <w:name w:val="Normal (Web)"/>
    <w:basedOn w:val="Normal"/>
    <w:uiPriority w:val="99"/>
    <w:semiHidden/>
    <w:unhideWhenUsed/>
    <w:rsid w:val="005268E7"/>
    <w:pPr>
      <w:spacing w:before="100" w:beforeAutospacing="1" w:after="100" w:afterAutospacing="1"/>
    </w:pPr>
  </w:style>
  <w:style w:type="paragraph" w:customStyle="1" w:styleId="A5-1TextoAcordo">
    <w:name w:val="A5-1_Texto Acordo*"/>
    <w:rsid w:val="00CF2FCB"/>
    <w:pPr>
      <w:spacing w:before="60" w:after="120"/>
      <w:ind w:firstLine="1134"/>
      <w:jc w:val="both"/>
    </w:pPr>
    <w:rPr>
      <w:rFonts w:ascii="Arial" w:eastAsia="Times New Roman" w:hAnsi="Arial" w:cs="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C947C2-B9C6-4794-8634-62003150E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2587</Words>
  <Characters>13975</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Senado Federal</Company>
  <LinksUpToDate>false</LinksUpToDate>
  <CharactersWithSpaces>16529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elidoall</dc:creator>
  <cp:lastModifiedBy>tiagob</cp:lastModifiedBy>
  <cp:revision>4</cp:revision>
  <cp:lastPrinted>2015-08-18T17:01:00Z</cp:lastPrinted>
  <dcterms:created xsi:type="dcterms:W3CDTF">2015-08-18T17:26:00Z</dcterms:created>
  <dcterms:modified xsi:type="dcterms:W3CDTF">2015-08-18T17:37:00Z</dcterms:modified>
</cp:coreProperties>
</file>