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A2C" w:rsidRPr="00034C0D" w:rsidRDefault="00886A2C" w:rsidP="00886A2C">
      <w:pPr>
        <w:pStyle w:val="Ttulo1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PROJETO DE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LEI DE CONVERSÃO Nº </w:t>
      </w:r>
      <w:r w:rsidR="00EB501D">
        <w:rPr>
          <w:rFonts w:ascii="Times New Roman" w:hAnsi="Times New Roman" w:cs="Times New Roman"/>
          <w:color w:val="auto"/>
          <w:sz w:val="28"/>
          <w:szCs w:val="28"/>
        </w:rPr>
        <w:t xml:space="preserve"> 3</w:t>
      </w:r>
      <w:r>
        <w:rPr>
          <w:rFonts w:ascii="Times New Roman" w:hAnsi="Times New Roman" w:cs="Times New Roman"/>
          <w:color w:val="auto"/>
          <w:sz w:val="28"/>
          <w:szCs w:val="28"/>
        </w:rPr>
        <w:t>, DE 2019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86A2C" w:rsidRPr="00034C0D" w:rsidRDefault="00886A2C" w:rsidP="00886A2C">
      <w:pPr>
        <w:pStyle w:val="Ttulo1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b w:val="0"/>
          <w:color w:val="auto"/>
          <w:sz w:val="28"/>
          <w:szCs w:val="28"/>
        </w:rPr>
        <w:t>(Proveniente da Medida Provisória n° 859, de 2018)</w:t>
      </w:r>
    </w:p>
    <w:p w:rsidR="00886A2C" w:rsidRDefault="00886A2C" w:rsidP="00886A2C">
      <w:pPr>
        <w:pStyle w:val="Ementa"/>
        <w:spacing w:line="240" w:lineRule="auto"/>
        <w:ind w:left="4536"/>
        <w:rPr>
          <w:rFonts w:ascii="Times New Roman" w:hAnsi="Times New Roman" w:cs="Times New Roman"/>
          <w:color w:val="auto"/>
          <w:sz w:val="28"/>
          <w:szCs w:val="28"/>
        </w:rPr>
      </w:pPr>
    </w:p>
    <w:p w:rsidR="00886A2C" w:rsidRPr="00034C0D" w:rsidRDefault="00886A2C" w:rsidP="00886A2C">
      <w:pPr>
        <w:pStyle w:val="Ementa"/>
        <w:spacing w:line="240" w:lineRule="auto"/>
        <w:ind w:left="3969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Altera a Lei nº 8.036, de 11 de maio de 1990, que dispõe sobre o Fundo de Garantia do Tempo de Serviço, para viabilizar a aplicação de recursos do Fundo em operações de crédito destinadas às entidades hospitalares filantrópicas e sem fins lucrativos que participem de forma complementar do Sistema Único de Saúde.</w:t>
      </w:r>
    </w:p>
    <w:p w:rsidR="00886A2C" w:rsidRPr="00034C0D" w:rsidRDefault="00886A2C" w:rsidP="00886A2C">
      <w:pPr>
        <w:spacing w:before="300" w:after="300" w:line="240" w:lineRule="auto"/>
        <w:ind w:firstLine="57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art1"/>
      <w:bookmarkEnd w:id="0"/>
    </w:p>
    <w:p w:rsidR="00886A2C" w:rsidRPr="00034C0D" w:rsidRDefault="00886A2C" w:rsidP="00886A2C">
      <w:pPr>
        <w:spacing w:before="300" w:after="300" w:line="240" w:lineRule="auto"/>
        <w:ind w:firstLine="57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4C0D">
        <w:rPr>
          <w:rFonts w:ascii="Times New Roman" w:eastAsia="Times New Roman" w:hAnsi="Times New Roman" w:cs="Times New Roman"/>
          <w:bCs/>
          <w:sz w:val="28"/>
          <w:szCs w:val="28"/>
        </w:rPr>
        <w:t>O CONGRESSO NACIONAL decreta</w:t>
      </w:r>
    </w:p>
    <w:p w:rsidR="00886A2C" w:rsidRPr="00034C0D" w:rsidRDefault="00886A2C" w:rsidP="00886A2C">
      <w:pPr>
        <w:pStyle w:val="Artig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Art. 1º A </w:t>
      </w:r>
      <w:hyperlink r:id="rId4" w:history="1">
        <w:r w:rsidRPr="00034C0D">
          <w:rPr>
            <w:rFonts w:ascii="Times New Roman" w:hAnsi="Times New Roman" w:cs="Times New Roman"/>
            <w:color w:val="auto"/>
            <w:sz w:val="28"/>
            <w:szCs w:val="28"/>
          </w:rPr>
          <w:t>Lei nº 8.036, de 11 de maio de 1990</w:t>
        </w:r>
      </w:hyperlink>
      <w:r w:rsidRPr="00034C0D">
        <w:rPr>
          <w:rFonts w:ascii="Times New Roman" w:hAnsi="Times New Roman" w:cs="Times New Roman"/>
          <w:color w:val="auto"/>
          <w:sz w:val="28"/>
          <w:szCs w:val="28"/>
        </w:rPr>
        <w:t>, passa a vigorar com as seguintes alterações: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“Art. 6º Ao Ministério das Cidades, na qualidade de gestor da aplicação do FGTS, compete: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......................................................................................” (NR)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“</w:t>
      </w:r>
      <w:hyperlink r:id="rId5" w:anchor="art6a" w:history="1">
        <w:r w:rsidRPr="00034C0D">
          <w:rPr>
            <w:rFonts w:ascii="Times New Roman" w:hAnsi="Times New Roman" w:cs="Times New Roman"/>
            <w:color w:val="auto"/>
            <w:sz w:val="28"/>
            <w:szCs w:val="28"/>
          </w:rPr>
          <w:t xml:space="preserve">Art. 6º-A </w:t>
        </w:r>
      </w:hyperlink>
      <w:r w:rsidRPr="00034C0D">
        <w:rPr>
          <w:rFonts w:ascii="Times New Roman" w:hAnsi="Times New Roman" w:cs="Times New Roman"/>
          <w:color w:val="auto"/>
          <w:sz w:val="28"/>
          <w:szCs w:val="28"/>
        </w:rPr>
        <w:t>Caberá ao Ministério da Saúde regulamentar, acompanhar a execução, subsidiar o Conselho Curador com estudos técnicos necessários ao seu aprimoramento operacional e definir as metas a serem alcançadas nas operações de crédito destinadas às entidades hospitalares filantrópicas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>bem como a</w:t>
      </w:r>
      <w:r>
        <w:rPr>
          <w:rFonts w:ascii="Times New Roman" w:hAnsi="Times New Roman" w:cs="Times New Roman"/>
          <w:color w:val="auto"/>
          <w:sz w:val="28"/>
          <w:szCs w:val="28"/>
        </w:rPr>
        <w:t>s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 instituições que atuam no campo para pessoas com deficiência, e sem fins lucrativos que participem de forma complementar do Sistema Único de Saúde.” (NR)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“</w:t>
      </w:r>
      <w:hyperlink r:id="rId6" w:anchor="art9a" w:history="1">
        <w:r w:rsidRPr="00034C0D">
          <w:rPr>
            <w:rFonts w:ascii="Times New Roman" w:hAnsi="Times New Roman" w:cs="Times New Roman"/>
            <w:color w:val="auto"/>
            <w:sz w:val="28"/>
            <w:szCs w:val="28"/>
          </w:rPr>
          <w:t xml:space="preserve">Art. 9º-A </w:t>
        </w:r>
      </w:hyperlink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O risco das operações de crédito de que trata o §10 do art. 9º ficará a cargo dos agentes financeiros de que trata o 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lastRenderedPageBreak/>
        <w:t>§9º do art. 9º, hipótese em que o Conselho Curador poderá definir o percentual da t</w:t>
      </w:r>
      <w:r>
        <w:rPr>
          <w:rFonts w:ascii="Times New Roman" w:hAnsi="Times New Roman" w:cs="Times New Roman"/>
          <w:color w:val="auto"/>
          <w:sz w:val="28"/>
          <w:szCs w:val="28"/>
        </w:rPr>
        <w:t>axa de risco, limitado a três po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>r cento, a ser acrescido à taxa de juros de que trata o inciso I do § 10 do art. 9º.” (NR)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“Art. 9º-B As garantias de que trata o inciso I do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34C0D">
        <w:rPr>
          <w:rFonts w:ascii="Times New Roman" w:hAnsi="Times New Roman" w:cs="Times New Roman"/>
          <w:b/>
          <w:bCs/>
          <w:color w:val="auto"/>
          <w:sz w:val="28"/>
          <w:szCs w:val="28"/>
        </w:rPr>
        <w:t>caput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>do art. 9º podem ser exigidas isolada ou cumulativamente. ” (NR)</w:t>
      </w:r>
    </w:p>
    <w:p w:rsidR="00886A2C" w:rsidRPr="00034C0D" w:rsidRDefault="00886A2C" w:rsidP="00886A2C">
      <w:pPr>
        <w:pStyle w:val="Artigorecuado"/>
        <w:rPr>
          <w:rFonts w:ascii="Times New Roman" w:hAnsi="Times New Roman" w:cs="Times New Roman"/>
          <w:color w:val="auto"/>
          <w:sz w:val="28"/>
          <w:szCs w:val="28"/>
        </w:rPr>
      </w:pPr>
      <w:r w:rsidRPr="00034C0D">
        <w:rPr>
          <w:rFonts w:ascii="Times New Roman" w:hAnsi="Times New Roman" w:cs="Times New Roman"/>
          <w:color w:val="auto"/>
          <w:sz w:val="28"/>
          <w:szCs w:val="28"/>
        </w:rPr>
        <w:t>“Art. 9º-C As aplicações do FGTS em operações de crédito destinadas às entidades hospitalares filantrópicas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>bem como a</w:t>
      </w:r>
      <w:r>
        <w:rPr>
          <w:rFonts w:ascii="Times New Roman" w:hAnsi="Times New Roman" w:cs="Times New Roman"/>
          <w:color w:val="auto"/>
          <w:sz w:val="28"/>
          <w:szCs w:val="28"/>
        </w:rPr>
        <w:t>s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 instituições que atuam no campo para pessoas com deficiência, e sem fins lucrativ</w:t>
      </w:r>
      <w:bookmarkStart w:id="1" w:name="_GoBack"/>
      <w:bookmarkEnd w:id="1"/>
      <w:r w:rsidRPr="00034C0D">
        <w:rPr>
          <w:rFonts w:ascii="Times New Roman" w:hAnsi="Times New Roman" w:cs="Times New Roman"/>
          <w:color w:val="auto"/>
          <w:sz w:val="28"/>
          <w:szCs w:val="28"/>
        </w:rPr>
        <w:t>os que participem de forma complementar do SUS ocorrerão até o final do exercício de 2022.” (NR)</w:t>
      </w:r>
    </w:p>
    <w:p w:rsidR="00886A2C" w:rsidRPr="00034C0D" w:rsidRDefault="00886A2C" w:rsidP="00886A2C">
      <w:pPr>
        <w:pStyle w:val="Artigo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art2"/>
      <w:bookmarkEnd w:id="2"/>
      <w:r>
        <w:rPr>
          <w:rFonts w:ascii="Times New Roman" w:hAnsi="Times New Roman" w:cs="Times New Roman"/>
          <w:color w:val="auto"/>
          <w:sz w:val="28"/>
          <w:szCs w:val="28"/>
        </w:rPr>
        <w:t xml:space="preserve">Art. 2º 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Esta </w:t>
      </w:r>
      <w:r w:rsidR="00B945AE">
        <w:rPr>
          <w:rFonts w:ascii="Times New Roman" w:hAnsi="Times New Roman" w:cs="Times New Roman"/>
          <w:color w:val="auto"/>
          <w:sz w:val="28"/>
          <w:szCs w:val="28"/>
        </w:rPr>
        <w:t>Lei</w:t>
      </w:r>
      <w:r w:rsidRPr="00034C0D">
        <w:rPr>
          <w:rFonts w:ascii="Times New Roman" w:hAnsi="Times New Roman" w:cs="Times New Roman"/>
          <w:color w:val="auto"/>
          <w:sz w:val="28"/>
          <w:szCs w:val="28"/>
        </w:rPr>
        <w:t xml:space="preserve"> entra em vigor na data de sua publicação.</w:t>
      </w:r>
    </w:p>
    <w:p w:rsidR="00886A2C" w:rsidRPr="00034C0D" w:rsidRDefault="00886A2C" w:rsidP="00886A2C">
      <w:pPr>
        <w:pStyle w:val="Artigo"/>
        <w:rPr>
          <w:rFonts w:ascii="Times New Roman" w:hAnsi="Times New Roman" w:cs="Times New Roman"/>
          <w:color w:val="auto"/>
          <w:sz w:val="28"/>
          <w:szCs w:val="28"/>
        </w:rPr>
      </w:pPr>
    </w:p>
    <w:p w:rsidR="00886A2C" w:rsidRDefault="00886A2C" w:rsidP="00886A2C">
      <w:pPr>
        <w:pStyle w:val="04-PargrafodetextoEstudoNotas-CLG"/>
      </w:pPr>
      <w:r>
        <w:t>Sala da Comissão, 9 de abril de 2019.</w:t>
      </w:r>
    </w:p>
    <w:p w:rsidR="00886A2C" w:rsidRDefault="00886A2C" w:rsidP="00886A2C">
      <w:pPr>
        <w:pStyle w:val="11-Assinaturas-CLG"/>
        <w:ind w:left="0"/>
      </w:pPr>
    </w:p>
    <w:p w:rsidR="00855459" w:rsidRPr="00855459" w:rsidRDefault="00855459" w:rsidP="0085545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855459">
        <w:rPr>
          <w:rFonts w:ascii="Times New Roman" w:eastAsia="Times New Roman" w:hAnsi="Times New Roman" w:cs="Times New Roman"/>
          <w:sz w:val="28"/>
          <w:szCs w:val="28"/>
          <w:lang w:eastAsia="pt-BR"/>
        </w:rPr>
        <w:t>DEPUTADO RICARDO BARROS</w:t>
      </w:r>
    </w:p>
    <w:p w:rsidR="00855459" w:rsidRPr="00855459" w:rsidRDefault="00855459" w:rsidP="0085545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855459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 da Comissão Mista</w:t>
      </w:r>
    </w:p>
    <w:p w:rsidR="00B8500F" w:rsidRDefault="00B8500F"/>
    <w:sectPr w:rsidR="00B8500F" w:rsidSect="00B850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6A2C"/>
    <w:rsid w:val="004A61B9"/>
    <w:rsid w:val="00855459"/>
    <w:rsid w:val="00886A2C"/>
    <w:rsid w:val="00B8500F"/>
    <w:rsid w:val="00B945AE"/>
    <w:rsid w:val="00EB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50BBD-9D49-42FC-AC55-CA0D0635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886A2C"/>
  </w:style>
  <w:style w:type="paragraph" w:styleId="Ttulo1">
    <w:name w:val="heading 1"/>
    <w:next w:val="Normal"/>
    <w:link w:val="Ttulo1Char"/>
    <w:uiPriority w:val="9"/>
    <w:unhideWhenUsed/>
    <w:qFormat/>
    <w:rsid w:val="00886A2C"/>
    <w:pPr>
      <w:keepNext/>
      <w:keepLines/>
      <w:spacing w:before="240" w:after="240" w:line="240" w:lineRule="auto"/>
      <w:ind w:left="11" w:right="6" w:hanging="11"/>
      <w:contextualSpacing/>
      <w:jc w:val="center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A2C"/>
    <w:rPr>
      <w:rFonts w:ascii="Arial" w:eastAsia="Arial" w:hAnsi="Arial" w:cs="Arial"/>
      <w:b/>
      <w:color w:val="000000"/>
      <w:sz w:val="24"/>
      <w:lang w:eastAsia="pt-BR"/>
    </w:rPr>
  </w:style>
  <w:style w:type="paragraph" w:customStyle="1" w:styleId="11-Assinaturas-CLG">
    <w:name w:val="11 - Assinaturas - CLG"/>
    <w:link w:val="11-Assinaturas-CLGChar"/>
    <w:rsid w:val="00886A2C"/>
    <w:pPr>
      <w:spacing w:after="960" w:line="240" w:lineRule="auto"/>
      <w:ind w:left="624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1-Assinaturas-CLGChar">
    <w:name w:val="11 - Assinaturas - CLG Char"/>
    <w:basedOn w:val="Fontepargpadro"/>
    <w:link w:val="11-Assinaturas-CLG"/>
    <w:rsid w:val="00886A2C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4-PargrafodetextoEstudoNotas-CLGChar">
    <w:name w:val="04 - Parágrafo de texto Estudo Notas - CLG Char"/>
    <w:basedOn w:val="Fontepargpadro"/>
    <w:link w:val="04-PargrafodetextoEstudoNotas-CLG"/>
    <w:locked/>
    <w:rsid w:val="00886A2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4-PargrafodetextoEstudoNotas-CLG">
    <w:name w:val="04 - Parágrafo de texto Estudo Notas - CLG"/>
    <w:link w:val="04-PargrafodetextoEstudoNotas-CLGChar"/>
    <w:qFormat/>
    <w:rsid w:val="00886A2C"/>
    <w:pPr>
      <w:spacing w:after="360" w:line="36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Ementa">
    <w:name w:val="Ementa"/>
    <w:basedOn w:val="Normal"/>
    <w:link w:val="EmentaChar"/>
    <w:qFormat/>
    <w:rsid w:val="00886A2C"/>
    <w:pPr>
      <w:spacing w:after="192" w:line="368" w:lineRule="auto"/>
      <w:ind w:left="4537"/>
      <w:jc w:val="both"/>
    </w:pPr>
    <w:rPr>
      <w:rFonts w:ascii="Arial" w:eastAsia="Arial" w:hAnsi="Arial" w:cs="Arial"/>
      <w:color w:val="000000"/>
      <w:sz w:val="24"/>
      <w:lang w:eastAsia="pt-BR"/>
    </w:rPr>
  </w:style>
  <w:style w:type="paragraph" w:customStyle="1" w:styleId="Artigo">
    <w:name w:val="Artigo"/>
    <w:basedOn w:val="Normal"/>
    <w:link w:val="ArtigoChar"/>
    <w:qFormat/>
    <w:rsid w:val="00886A2C"/>
    <w:pPr>
      <w:spacing w:after="120" w:line="360" w:lineRule="auto"/>
      <w:ind w:firstLine="556"/>
      <w:jc w:val="both"/>
    </w:pPr>
    <w:rPr>
      <w:rFonts w:ascii="Arial" w:eastAsia="Arial" w:hAnsi="Arial" w:cs="Arial"/>
      <w:color w:val="000000"/>
      <w:sz w:val="24"/>
      <w:lang w:eastAsia="pt-BR"/>
    </w:rPr>
  </w:style>
  <w:style w:type="character" w:customStyle="1" w:styleId="EmentaChar">
    <w:name w:val="Ementa Char"/>
    <w:link w:val="Ementa"/>
    <w:rsid w:val="00886A2C"/>
    <w:rPr>
      <w:rFonts w:ascii="Arial" w:eastAsia="Arial" w:hAnsi="Arial" w:cs="Arial"/>
      <w:color w:val="000000"/>
      <w:sz w:val="24"/>
      <w:lang w:eastAsia="pt-BR"/>
    </w:rPr>
  </w:style>
  <w:style w:type="character" w:customStyle="1" w:styleId="ArtigoChar">
    <w:name w:val="Artigo Char"/>
    <w:link w:val="Artigo"/>
    <w:rsid w:val="00886A2C"/>
    <w:rPr>
      <w:rFonts w:ascii="Arial" w:eastAsia="Arial" w:hAnsi="Arial" w:cs="Arial"/>
      <w:color w:val="000000"/>
      <w:sz w:val="24"/>
      <w:lang w:eastAsia="pt-BR"/>
    </w:rPr>
  </w:style>
  <w:style w:type="paragraph" w:customStyle="1" w:styleId="Artigorecuado">
    <w:name w:val="Artigo (recuado)"/>
    <w:basedOn w:val="Artigo"/>
    <w:link w:val="ArtigorecuadoChar"/>
    <w:qFormat/>
    <w:rsid w:val="00886A2C"/>
    <w:pPr>
      <w:ind w:left="1134"/>
    </w:pPr>
  </w:style>
  <w:style w:type="character" w:customStyle="1" w:styleId="ArtigorecuadoChar">
    <w:name w:val="Artigo (recuado) Char"/>
    <w:link w:val="Artigorecuado"/>
    <w:rsid w:val="00886A2C"/>
    <w:rPr>
      <w:rFonts w:ascii="Arial" w:eastAsia="Arial" w:hAnsi="Arial" w:cs="Arial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5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5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LEIS/L8036consol.htm" TargetMode="External"/><Relationship Id="rId5" Type="http://schemas.openxmlformats.org/officeDocument/2006/relationships/hyperlink" Target="http://www.planalto.gov.br/ccivil_03/LEIS/L8036consol.htm" TargetMode="External"/><Relationship Id="rId4" Type="http://schemas.openxmlformats.org/officeDocument/2006/relationships/hyperlink" Target="http://www.planalto.gov.br/ccivil_03/LEIS/L8036consol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brunobbv</dc:creator>
  <cp:lastModifiedBy>Vivian de Andrade Zoehler Santa Helena</cp:lastModifiedBy>
  <cp:revision>5</cp:revision>
  <cp:lastPrinted>2019-04-09T18:09:00Z</cp:lastPrinted>
  <dcterms:created xsi:type="dcterms:W3CDTF">2019-04-09T16:42:00Z</dcterms:created>
  <dcterms:modified xsi:type="dcterms:W3CDTF">2019-04-09T18:10:00Z</dcterms:modified>
</cp:coreProperties>
</file>