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743" w:rsidRDefault="00940743" w:rsidP="00940743">
      <w:pPr>
        <w:pStyle w:val="02-TtuloPrincipal-CLG"/>
      </w:pPr>
      <w:r>
        <w:t xml:space="preserve">PARECER Nº     </w:t>
      </w:r>
      <w:proofErr w:type="gramStart"/>
      <w:r>
        <w:t xml:space="preserve">  ,</w:t>
      </w:r>
      <w:proofErr w:type="gramEnd"/>
      <w:r>
        <w:t xml:space="preserve"> DE 2015</w:t>
      </w:r>
    </w:p>
    <w:p w:rsidR="00940743" w:rsidRDefault="00940743" w:rsidP="00940743">
      <w:pPr>
        <w:pStyle w:val="03-Ementa-CLG"/>
      </w:pPr>
      <w:bookmarkStart w:id="0" w:name="sigla_comissao"/>
      <w:bookmarkStart w:id="1" w:name="nome_comissao"/>
      <w:r>
        <w:t>Da COMISSÃO</w:t>
      </w:r>
      <w:bookmarkEnd w:id="0"/>
      <w:r>
        <w:t xml:space="preserve"> </w:t>
      </w:r>
      <w:bookmarkEnd w:id="1"/>
      <w:r>
        <w:t>DE DIREITOS HUMANOS E LEGISLAÇÃO PARTICIPATIVA, sobre o Projeto de Lei do Senado nº 528, de 2015,</w:t>
      </w:r>
      <w:r w:rsidRPr="00E73B10">
        <w:t xml:space="preserve"> </w:t>
      </w:r>
      <w:r>
        <w:t xml:space="preserve">do Senador Romário, que </w:t>
      </w:r>
      <w:r>
        <w:rPr>
          <w:i/>
        </w:rPr>
        <w:t>a</w:t>
      </w:r>
      <w:r w:rsidRPr="00912E75">
        <w:rPr>
          <w:i/>
        </w:rPr>
        <w:t>ltera a Lei nº 9.504, de 30 de setembro de 1997, para dispor sobre o uso de panfletos em sistema Braille nas campanhas eleitorais dos candidatos aos cargos majoritários</w:t>
      </w:r>
      <w:r>
        <w:rPr>
          <w:i/>
        </w:rPr>
        <w:t>.</w:t>
      </w:r>
    </w:p>
    <w:p w:rsidR="00940743" w:rsidRDefault="00940743" w:rsidP="00940743">
      <w:pPr>
        <w:pStyle w:val="04-Relatoria-CLG"/>
        <w:rPr>
          <w:b/>
        </w:rPr>
      </w:pPr>
      <w:r>
        <w:t xml:space="preserve">RELATOR: Senador </w:t>
      </w:r>
      <w:r>
        <w:rPr>
          <w:b/>
        </w:rPr>
        <w:t>BENEDITO DE LIRA</w:t>
      </w:r>
    </w:p>
    <w:p w:rsidR="00940743" w:rsidRPr="00EB07A3" w:rsidRDefault="00940743" w:rsidP="00940743">
      <w:pPr>
        <w:pStyle w:val="04-Relatoria-CLG"/>
        <w:rPr>
          <w:b/>
        </w:rPr>
      </w:pPr>
    </w:p>
    <w:p w:rsidR="00940743" w:rsidRDefault="00940743" w:rsidP="00940743">
      <w:pPr>
        <w:pStyle w:val="05-Subttulo-CLG"/>
      </w:pPr>
      <w:r>
        <w:t>I – RELATÓRIO</w:t>
      </w:r>
    </w:p>
    <w:p w:rsidR="00940743" w:rsidRDefault="00940743" w:rsidP="00940743">
      <w:pPr>
        <w:pStyle w:val="06-Pargrafodetexto-CLG"/>
      </w:pPr>
      <w:r w:rsidRPr="00201B3E">
        <w:t>Vem ao exame da Comissão de Direitos Humanos e Legislação Participativa (CDH)</w:t>
      </w:r>
      <w:r>
        <w:t xml:space="preserve"> o Projeto de Lei do Senado (PLS) nº 528, de 2015, do Senador Romário, que modifica a</w:t>
      </w:r>
      <w:r w:rsidRPr="008217F2">
        <w:t xml:space="preserve"> </w:t>
      </w:r>
      <w:r>
        <w:t>Lei das Eleições – Lei nº 9.504, de 30 de setembro de 1997 – para dispor sobre o uso de panfletos em sistema Braille nas campanhas eleitorais dos candidatos aos cargos majoritários.</w:t>
      </w:r>
    </w:p>
    <w:p w:rsidR="00940743" w:rsidRDefault="00940743" w:rsidP="00940743">
      <w:pPr>
        <w:pStyle w:val="06-Pargrafodetexto-CLG"/>
      </w:pPr>
      <w:r w:rsidRPr="00E73B10">
        <w:t xml:space="preserve">A iniciativa, no seu art. 1º, </w:t>
      </w:r>
      <w:r>
        <w:t xml:space="preserve">indica o objeto da lei, em conformidade com o </w:t>
      </w:r>
      <w:r w:rsidRPr="00C917A7">
        <w:rPr>
          <w:i/>
        </w:rPr>
        <w:t>caput</w:t>
      </w:r>
      <w:r>
        <w:t xml:space="preserve"> do art. 7º da Lei Complementar nº 95, de 26 de fevereiro de 1998, que dispõe sobre a elaboração das leis. Já o art. 2º do PLS acrescenta o art. 38-A à Lei das Eleições, dispondo que a</w:t>
      </w:r>
      <w:r w:rsidRPr="00C917A7">
        <w:t xml:space="preserve">s campanhas dos candidatos aos cargos majoritários deverão disponibilizar panfletos em </w:t>
      </w:r>
      <w:r w:rsidRPr="00C917A7">
        <w:lastRenderedPageBreak/>
        <w:t>sistema Braille</w:t>
      </w:r>
      <w:r>
        <w:t>. Por fim, o art. 3º da proposição dispõe que a lei entra em vigor na data de sua publicação.</w:t>
      </w:r>
    </w:p>
    <w:p w:rsidR="00940743" w:rsidRDefault="00940743" w:rsidP="00940743">
      <w:pPr>
        <w:pStyle w:val="06-Pargrafodetexto-CLG"/>
      </w:pPr>
      <w:r>
        <w:t>O autor da matéria observa que as pessoas com deficiência têm assegurados seus direitos à dignidade e à não-discriminação. Dessa forma, a proposição objetiva assegurar a tais pessoas a oportunidade de participar ativamente das decisões relativas aos programas dos candidatos majoritários. Para tal, faz-se importante as campanhas dos candidatos aos cargos majoritários disponibilizarem panfletos em Braille.</w:t>
      </w:r>
    </w:p>
    <w:p w:rsidR="00940743" w:rsidRDefault="00940743" w:rsidP="00940743">
      <w:pPr>
        <w:pStyle w:val="06-Pargrafodetexto-CLG"/>
      </w:pPr>
      <w:r>
        <w:t>A matéria foi distribuída à CDH, na qual coube a mim a relatoria. Na sequência, ela seguirá para análise terminativa da Comissão de Constituição, Justiça e Cidadania.</w:t>
      </w:r>
    </w:p>
    <w:p w:rsidR="00940743" w:rsidRPr="00201B3E" w:rsidRDefault="00940743" w:rsidP="00940743">
      <w:pPr>
        <w:pStyle w:val="06-Pargrafodetexto-CLG"/>
      </w:pPr>
      <w:r>
        <w:t>Não foram apresentadas emendas no prazo regimental.</w:t>
      </w:r>
    </w:p>
    <w:p w:rsidR="00940743" w:rsidRDefault="00940743" w:rsidP="00940743">
      <w:pPr>
        <w:pStyle w:val="05-Subttulo-CLG"/>
      </w:pPr>
      <w:r w:rsidRPr="00FB493C">
        <w:t>II – ANÁLISE</w:t>
      </w:r>
    </w:p>
    <w:p w:rsidR="00940743" w:rsidRDefault="00940743" w:rsidP="00940743">
      <w:pPr>
        <w:pStyle w:val="06-Pargrafodetexto-CLG"/>
      </w:pPr>
      <w:r w:rsidRPr="003A569A">
        <w:t xml:space="preserve">O PLS nº </w:t>
      </w:r>
      <w:r>
        <w:t>528</w:t>
      </w:r>
      <w:r w:rsidRPr="003A569A">
        <w:t>, de 201</w:t>
      </w:r>
      <w:r>
        <w:t>5</w:t>
      </w:r>
      <w:r w:rsidRPr="003A569A">
        <w:t>,</w:t>
      </w:r>
      <w:r>
        <w:t xml:space="preserve"> trata de direito eleitoral, matéria cuja competência privativa para legislar cabe à União, a teor do art. 22, inciso I, da Constituição Federal. Trata, ainda, de proteção e integração social das pessoas com deficiência, tema para o qual a União tem competência legislativa concorrente, conforme inciso XIV do art. 24 da Constituição Federal. Também é consentâneo com o art. 48 da Carta Magna, sobre a prerrogativa de o Congresso Nacional dispor sobre todas as matérias de competência da União. Ademais, a proposição não veicula violação de cláusula pétrea e atende aos requisitos de iniciativa, nos termos do art. 61 da Lei Maior.</w:t>
      </w:r>
    </w:p>
    <w:p w:rsidR="00940743" w:rsidRDefault="00940743" w:rsidP="00940743">
      <w:pPr>
        <w:pStyle w:val="06-Pargrafodetexto-CLG"/>
      </w:pPr>
      <w:r>
        <w:t>De acordo com os incisos III e VI do art. 102-E do Regimento Interno do Senado Federal, compete à CDH opinar sobre garantia e promoção dos direitos humanos e proteção e integração social das pessoas com deficiência, temas esses que guardam afinidade com o projeto em exame. Verifica-se sua adequação regimental.</w:t>
      </w:r>
    </w:p>
    <w:p w:rsidR="00940743" w:rsidRDefault="00940743" w:rsidP="00940743">
      <w:pPr>
        <w:pStyle w:val="06-Pargrafodetexto-CLG"/>
      </w:pPr>
      <w:r>
        <w:lastRenderedPageBreak/>
        <w:t xml:space="preserve">Não há reparos a fazer em relação à legalidade, à juridicidade e à constitucionalidade. </w:t>
      </w:r>
    </w:p>
    <w:p w:rsidR="00940743" w:rsidRDefault="00940743" w:rsidP="00940743">
      <w:pPr>
        <w:pStyle w:val="06-Pargrafodetexto-CLG"/>
      </w:pPr>
      <w:r>
        <w:t>No que toca à técnica legislativa, faz-se necessário substituir o termo “panfletos”, pois essa palavra não é usada pela Lei das Eleições. Uma consulta ao dicionário Aurélio permite verificar que panfleto quer dizer tanto folheto, que é uma publicação de várias páginas, a qual permite um conteúdo mais extenso, como também quer dizer uma “f</w:t>
      </w:r>
      <w:r w:rsidRPr="006350A7">
        <w:t>olha de papel que traz impresso o nome de candidato a cargo eletivo, junto com o do respectivo partido e, por vezes, alguns dados sobre o candidato</w:t>
      </w:r>
      <w:r>
        <w:t xml:space="preserve">”. </w:t>
      </w:r>
    </w:p>
    <w:p w:rsidR="00940743" w:rsidRDefault="00940743" w:rsidP="00940743">
      <w:pPr>
        <w:pStyle w:val="06-Pargrafodetexto-CLG"/>
      </w:pPr>
      <w:r>
        <w:t xml:space="preserve">Ou seja, é fiel ao espírito do projeto que pessoas com deficiência visual tenham o direito de se </w:t>
      </w:r>
      <w:proofErr w:type="spellStart"/>
      <w:r>
        <w:t>informarem</w:t>
      </w:r>
      <w:proofErr w:type="spellEnd"/>
      <w:r>
        <w:t xml:space="preserve"> sobre os candidatos majoritários, tanto em folhetos, que se propõem a oferecer informações completas como biografia e programa de governo, como em volantes, que servem como uma breve orientação sobre o candidato e seu número. Parece-nos adequado, portanto, que o PLS não se refira a panfletos, mas, sim, a folhetos e volantes.</w:t>
      </w:r>
    </w:p>
    <w:p w:rsidR="00940743" w:rsidRDefault="00940743" w:rsidP="00940743">
      <w:pPr>
        <w:pStyle w:val="06-Pargrafodetexto-CLG"/>
      </w:pPr>
      <w:r>
        <w:t>Outra observação, ademais, faz-se necessária. Como bem anota o art. 38 da Lei nº 9.504, de 1997, independe de licença ou autorização a distribuição de folhetos e volantes. Naturalmente, é facultativo ao candidato imprimir ou não folhetos e volantes. Ainda que seja incomum não se valer da divulgação da candidatura por meio de impressos, mesmo por parte de candidatos cuja campanha levante poucos recursos, é razoável que esse deva ser um direito, e não uma obrigação. Dessa forma, importa observar que a redação proposta pelo PLS ao art. 38-A merece reparos. Afinal, como está, dá a entender que a disponibilização de impressos em Braille é obrigatória, ainda que o candidato não produza impressos em português comum. Entendemos que deve ser obrigatória, sim, condicionada ao desejo do candidato de oferecer qualquer espécie de impresso.</w:t>
      </w:r>
    </w:p>
    <w:p w:rsidR="00940743" w:rsidRPr="00C819DC" w:rsidRDefault="00940743" w:rsidP="00940743">
      <w:pPr>
        <w:pStyle w:val="06-Pargrafodetexto-CLG"/>
      </w:pPr>
      <w:r>
        <w:t>Em razão disso, e como o PLS apresenta elevado mérito, propomos emenda ao seu art. 2º, de forma que ele fique adequado à intenção do autor e à razoabilidade do direito</w:t>
      </w:r>
      <w:r w:rsidRPr="00C819DC">
        <w:t>.</w:t>
      </w:r>
      <w:r>
        <w:t xml:space="preserve"> Importa observar, por fim, que caberá ao Tribunal Superior Eleitoral regular uma quantidade de impressos a serem </w:t>
      </w:r>
      <w:r>
        <w:lastRenderedPageBreak/>
        <w:t>criados em Braille, os quais entendemos que devem ser escalonados em relação à quantidade total de impressos e à expectativa de demanda.</w:t>
      </w:r>
    </w:p>
    <w:p w:rsidR="00940743" w:rsidRDefault="00940743" w:rsidP="00940743">
      <w:pPr>
        <w:pStyle w:val="05-Subttulo-CLG"/>
      </w:pPr>
      <w:r>
        <w:t>III – VOTO</w:t>
      </w:r>
    </w:p>
    <w:p w:rsidR="00940743" w:rsidRDefault="00940743" w:rsidP="00940743">
      <w:pPr>
        <w:pStyle w:val="06-Pargrafodetexto-CLG"/>
      </w:pPr>
      <w:r>
        <w:t xml:space="preserve">Em vista do exposto, votamos pela </w:t>
      </w:r>
      <w:r w:rsidRPr="00AD7545">
        <w:rPr>
          <w:b/>
        </w:rPr>
        <w:t>aprovação</w:t>
      </w:r>
      <w:r>
        <w:t xml:space="preserve"> do Projeto de Lei do Senado nº 528, de 2015, com a seguinte emenda:</w:t>
      </w:r>
    </w:p>
    <w:p w:rsidR="00940743" w:rsidRDefault="00940743" w:rsidP="00940743">
      <w:pPr>
        <w:pStyle w:val="06-Pargrafodetexto-CLG"/>
      </w:pPr>
    </w:p>
    <w:p w:rsidR="00940743" w:rsidRDefault="00940743" w:rsidP="00940743">
      <w:pPr>
        <w:pStyle w:val="09-Ttuloemenda-CLG"/>
      </w:pPr>
      <w:r w:rsidRPr="008862BE">
        <w:t xml:space="preserve">EMENDA Nº </w:t>
      </w:r>
      <w:r w:rsidR="004F6EA3">
        <w:t xml:space="preserve">1 </w:t>
      </w:r>
      <w:r w:rsidRPr="008862BE">
        <w:t>– CDH</w:t>
      </w:r>
    </w:p>
    <w:p w:rsidR="00940743" w:rsidRDefault="00940743" w:rsidP="00940743">
      <w:pPr>
        <w:pStyle w:val="10-Local-CLG"/>
        <w:ind w:firstLine="1418"/>
      </w:pPr>
      <w:r>
        <w:t>Dê-se ao art. 2º do Projeto de Lei do Senado nº 528, de 2015, a seguinte redação:</w:t>
      </w:r>
    </w:p>
    <w:p w:rsidR="00940743" w:rsidRDefault="00940743" w:rsidP="00940743">
      <w:pPr>
        <w:pStyle w:val="06-Pargrafodetexto-CLG"/>
      </w:pPr>
      <w:r>
        <w:rPr>
          <w:b/>
        </w:rPr>
        <w:t>“</w:t>
      </w:r>
      <w:r w:rsidRPr="000F0071">
        <w:rPr>
          <w:b/>
        </w:rPr>
        <w:t xml:space="preserve">Art. </w:t>
      </w:r>
      <w:r>
        <w:rPr>
          <w:b/>
        </w:rPr>
        <w:t xml:space="preserve">2º </w:t>
      </w:r>
      <w:r w:rsidRPr="0020276F">
        <w:t>O art. 38 da</w:t>
      </w:r>
      <w:r>
        <w:t xml:space="preserve"> Lei nº 9.504, de 30 de setembro de 1997, passa a vigorar com a seguinte redação:</w:t>
      </w:r>
    </w:p>
    <w:p w:rsidR="00940743" w:rsidRPr="00C61965" w:rsidRDefault="00940743" w:rsidP="00940743">
      <w:pPr>
        <w:pStyle w:val="06-Pargrafodetexto-CLG"/>
        <w:ind w:left="1418" w:firstLine="0"/>
        <w:rPr>
          <w:sz w:val="24"/>
        </w:rPr>
      </w:pPr>
      <w:r w:rsidRPr="00C2363B">
        <w:rPr>
          <w:sz w:val="24"/>
        </w:rPr>
        <w:t>“</w:t>
      </w:r>
      <w:r w:rsidRPr="00C2363B">
        <w:rPr>
          <w:b/>
          <w:sz w:val="24"/>
        </w:rPr>
        <w:t>Art. 38.</w:t>
      </w:r>
      <w:r w:rsidRPr="00C2363B">
        <w:rPr>
          <w:sz w:val="24"/>
        </w:rPr>
        <w:t xml:space="preserve"> .................................................... ................................</w:t>
      </w:r>
      <w:r>
        <w:rPr>
          <w:sz w:val="24"/>
        </w:rPr>
        <w:t>.................</w:t>
      </w:r>
    </w:p>
    <w:p w:rsidR="00940743" w:rsidRPr="00C61965" w:rsidRDefault="00940743" w:rsidP="00940743">
      <w:pPr>
        <w:pStyle w:val="06-Pargrafodetexto-CLG"/>
        <w:ind w:left="1418" w:firstLine="0"/>
        <w:rPr>
          <w:sz w:val="24"/>
        </w:rPr>
      </w:pPr>
      <w:r w:rsidRPr="00C2363B">
        <w:rPr>
          <w:sz w:val="24"/>
        </w:rPr>
        <w:t>...............................................................................................</w:t>
      </w:r>
      <w:r>
        <w:rPr>
          <w:sz w:val="24"/>
        </w:rPr>
        <w:t>.......................</w:t>
      </w:r>
    </w:p>
    <w:p w:rsidR="00940743" w:rsidRDefault="00940743" w:rsidP="00940743">
      <w:pPr>
        <w:pStyle w:val="06-Pargrafodetexto-CLG"/>
        <w:ind w:left="1418" w:firstLine="0"/>
        <w:rPr>
          <w:sz w:val="24"/>
        </w:rPr>
      </w:pPr>
      <w:r w:rsidRPr="00C2363B">
        <w:rPr>
          <w:sz w:val="24"/>
        </w:rPr>
        <w:t xml:space="preserve">§ 5º A veiculação de propaganda eleitoral pela distribuição de folhetos ou volantes referentes a pleito majoritário impõe a oferta de cada qual em sistema Braille em proporção escalonada definida na forma de </w:t>
      </w:r>
      <w:proofErr w:type="gramStart"/>
      <w:r w:rsidRPr="00C2363B">
        <w:rPr>
          <w:sz w:val="24"/>
        </w:rPr>
        <w:t>regulamento.”</w:t>
      </w:r>
      <w:proofErr w:type="gramEnd"/>
      <w:r w:rsidRPr="00C2363B">
        <w:rPr>
          <w:sz w:val="24"/>
        </w:rPr>
        <w:t xml:space="preserve"> (NR)</w:t>
      </w:r>
    </w:p>
    <w:p w:rsidR="00940743" w:rsidRDefault="00940743" w:rsidP="00940743">
      <w:pPr>
        <w:pStyle w:val="06-Pargrafodetexto-CLG"/>
      </w:pPr>
    </w:p>
    <w:p w:rsidR="00940743" w:rsidRDefault="00940743" w:rsidP="00940743">
      <w:pPr>
        <w:pStyle w:val="10-Local-CLG"/>
      </w:pPr>
      <w:r>
        <w:lastRenderedPageBreak/>
        <w:t>Sala da Comissão,</w:t>
      </w:r>
      <w:r w:rsidR="004F6EA3">
        <w:t xml:space="preserve"> 07 de outubro de 2015.</w:t>
      </w:r>
    </w:p>
    <w:p w:rsidR="00940743" w:rsidRPr="00724990" w:rsidRDefault="004F6EA3" w:rsidP="004F6EA3">
      <w:pPr>
        <w:pStyle w:val="11-Assinaturas-CLG"/>
        <w:ind w:left="0"/>
        <w:jc w:val="right"/>
      </w:pPr>
      <w:r>
        <w:t>Senador Paulo Paim</w:t>
      </w:r>
      <w:r w:rsidR="00940743">
        <w:t>, Presidente</w:t>
      </w:r>
    </w:p>
    <w:p w:rsidR="00940743" w:rsidRPr="001D2D8F" w:rsidRDefault="004F6EA3" w:rsidP="004F6EA3">
      <w:pPr>
        <w:pStyle w:val="11-Assinaturas-CLG"/>
        <w:ind w:left="0"/>
        <w:jc w:val="right"/>
      </w:pPr>
      <w:r>
        <w:t xml:space="preserve">Senadora Angela Portela </w:t>
      </w:r>
      <w:r w:rsidR="00940743">
        <w:t>, Relator</w:t>
      </w:r>
      <w:r>
        <w:t>a</w:t>
      </w:r>
      <w:bookmarkStart w:id="2" w:name="_GoBack"/>
      <w:bookmarkEnd w:id="2"/>
    </w:p>
    <w:p w:rsidR="00210DF3" w:rsidRDefault="00210DF3"/>
    <w:sectPr w:rsidR="00210DF3" w:rsidSect="00D7677E">
      <w:headerReference w:type="even" r:id="rId4"/>
      <w:headerReference w:type="default" r:id="rId5"/>
      <w:footerReference w:type="default" r:id="rId6"/>
      <w:footerReference w:type="first" r:id="rId7"/>
      <w:pgSz w:w="11906" w:h="16838"/>
      <w:pgMar w:top="1701" w:right="1701" w:bottom="1701" w:left="1701" w:header="2835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F5" w:rsidRDefault="004F6EA3">
    <w:pPr>
      <w:pStyle w:val="Rodap"/>
      <w:rPr>
        <w:i/>
        <w:sz w:val="18"/>
      </w:rPr>
    </w:pPr>
    <w:proofErr w:type="gramStart"/>
    <w:r>
      <w:rPr>
        <w:i/>
        <w:sz w:val="18"/>
        <w:szCs w:val="18"/>
      </w:rPr>
      <w:t>pr</w:t>
    </w:r>
    <w:proofErr w:type="gramEnd"/>
    <w:r w:rsidRPr="00115A1C">
      <w:rPr>
        <w:i/>
        <w:sz w:val="18"/>
        <w:szCs w:val="18"/>
      </w:rPr>
      <w:t>201</w:t>
    </w:r>
    <w:r>
      <w:rPr>
        <w:i/>
        <w:sz w:val="18"/>
        <w:szCs w:val="18"/>
      </w:rPr>
      <w:t>5</w:t>
    </w:r>
    <w:r w:rsidRPr="00115A1C">
      <w:rPr>
        <w:i/>
        <w:sz w:val="18"/>
        <w:szCs w:val="18"/>
      </w:rPr>
      <w:t>-0</w:t>
    </w:r>
    <w:r>
      <w:rPr>
        <w:i/>
        <w:sz w:val="18"/>
        <w:szCs w:val="18"/>
      </w:rPr>
      <w:t>8</w:t>
    </w:r>
    <w:r>
      <w:rPr>
        <w:i/>
        <w:sz w:val="18"/>
        <w:szCs w:val="18"/>
      </w:rPr>
      <w:t>994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F5" w:rsidRPr="00342E7D" w:rsidRDefault="004F6EA3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F5" w:rsidRDefault="004F6EA3" w:rsidP="001D2D8F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260F5" w:rsidRDefault="004F6EA3">
    <w:pPr>
      <w:pStyle w:val="Cabealho"/>
      <w:ind w:right="360"/>
    </w:pPr>
  </w:p>
  <w:p w:rsidR="00B260F5" w:rsidRDefault="004F6EA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F5" w:rsidRDefault="004F6EA3" w:rsidP="001D2D8F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B260F5" w:rsidRDefault="004F6EA3">
    <w:pPr>
      <w:pStyle w:val="Cabealho"/>
      <w:ind w:right="360"/>
    </w:pPr>
  </w:p>
  <w:p w:rsidR="00B260F5" w:rsidRDefault="004F6EA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743"/>
    <w:rsid w:val="00210DF3"/>
    <w:rsid w:val="004F6EA3"/>
    <w:rsid w:val="0094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BCF527-62BD-4505-87C6-B2612EE6E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74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940743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94074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940743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94074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uiPriority w:val="99"/>
    <w:semiHidden/>
    <w:rsid w:val="00940743"/>
  </w:style>
  <w:style w:type="paragraph" w:customStyle="1" w:styleId="02-TtuloPrincipal-CLG">
    <w:name w:val="02 - Título Principal - CLG"/>
    <w:link w:val="02-TtuloPrincipal-CLGChar"/>
    <w:rsid w:val="00940743"/>
    <w:pPr>
      <w:spacing w:after="96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940743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0"/>
      <w:lang w:eastAsia="pt-BR"/>
    </w:rPr>
  </w:style>
  <w:style w:type="character" w:customStyle="1" w:styleId="03-Ementa-CLGCharChar">
    <w:name w:val="03 - Ementa - CLG Char Char"/>
    <w:link w:val="03-Ementa-CLG"/>
    <w:locked/>
    <w:rsid w:val="00940743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customStyle="1" w:styleId="04-Relatoria-CLG">
    <w:name w:val="04 - Relatoria - CLG"/>
    <w:link w:val="04-Relatoria-CLGChar"/>
    <w:rsid w:val="00940743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link w:val="05-Subttulo-CLGChar"/>
    <w:rsid w:val="00940743"/>
    <w:pPr>
      <w:spacing w:after="48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rsid w:val="00940743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0-Local-CLG">
    <w:name w:val="10 - Local - CLG"/>
    <w:link w:val="10-Local-CLGChar"/>
    <w:rsid w:val="00940743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940743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TtuloPrincipal-CLGChar">
    <w:name w:val="02 - Título Principal - CLG Char"/>
    <w:link w:val="02-TtuloPrincipal-CLG"/>
    <w:locked/>
    <w:rsid w:val="00940743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04-Relatoria-CLGChar">
    <w:name w:val="04 - Relatoria - CLG Char"/>
    <w:link w:val="04-Relatoria-CLG"/>
    <w:locked/>
    <w:rsid w:val="0094074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link w:val="05-Subttulo-CLG"/>
    <w:locked/>
    <w:rsid w:val="00940743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06-Pargrafodetexto-CLGChar">
    <w:name w:val="06 - Parágrafo de texto - CLG Char"/>
    <w:link w:val="06-Pargrafodetexto-CLG"/>
    <w:locked/>
    <w:rsid w:val="0094074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link w:val="10-Local-CLG"/>
    <w:locked/>
    <w:rsid w:val="0094074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link w:val="11-Assinaturas-CLG"/>
    <w:locked/>
    <w:rsid w:val="0094074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9-Ttuloemenda-CLG">
    <w:name w:val="09 - Título emenda - CLG"/>
    <w:rsid w:val="00940743"/>
    <w:pPr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931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Egídio Mendonça Costa</dc:creator>
  <cp:keywords/>
  <dc:description/>
  <cp:lastModifiedBy>Silvana Egídio Mendonça Costa</cp:lastModifiedBy>
  <cp:revision>2</cp:revision>
  <dcterms:created xsi:type="dcterms:W3CDTF">2015-10-13T14:12:00Z</dcterms:created>
  <dcterms:modified xsi:type="dcterms:W3CDTF">2015-10-13T14:13:00Z</dcterms:modified>
</cp:coreProperties>
</file>