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E6" w:rsidRDefault="00CB62E6" w:rsidP="00CB62E6">
      <w:pPr>
        <w:spacing w:after="72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32"/>
          <w:lang w:eastAsia="pt-BR"/>
        </w:rPr>
      </w:pPr>
      <w:bookmarkStart w:id="0" w:name="_GoBack"/>
      <w:bookmarkEnd w:id="0"/>
    </w:p>
    <w:p w:rsidR="00CA1015" w:rsidRPr="00CA1015" w:rsidRDefault="00CA1015" w:rsidP="00CB62E6">
      <w:pPr>
        <w:spacing w:after="72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pt-BR"/>
        </w:rPr>
      </w:pPr>
      <w:r w:rsidRPr="00CA1015">
        <w:rPr>
          <w:rFonts w:ascii="Times New Roman" w:eastAsia="Times New Roman" w:hAnsi="Times New Roman" w:cs="Times New Roman"/>
          <w:b/>
          <w:bCs/>
          <w:caps/>
          <w:sz w:val="32"/>
          <w:lang w:eastAsia="pt-BR"/>
        </w:rPr>
        <w:t>Parecer</w:t>
      </w:r>
      <w:r w:rsidRPr="00CA1015">
        <w:rPr>
          <w:rFonts w:ascii="Times New Roman" w:eastAsia="Times New Roman" w:hAnsi="Times New Roman" w:cs="Times New Roman"/>
          <w:b/>
          <w:bCs/>
          <w:sz w:val="32"/>
          <w:lang w:eastAsia="pt-BR"/>
        </w:rPr>
        <w:t xml:space="preserve"> Nº       , DE 2016</w:t>
      </w:r>
    </w:p>
    <w:p w:rsidR="00CA1015" w:rsidRPr="00CA1015" w:rsidRDefault="00CA1015" w:rsidP="00CA1015">
      <w:pPr>
        <w:spacing w:after="120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A1015">
        <w:rPr>
          <w:rFonts w:ascii="Times New Roman" w:eastAsia="Arial Unicode MS" w:hAnsi="Times New Roman" w:cs="Times New Roman"/>
          <w:sz w:val="24"/>
          <w:szCs w:val="24"/>
          <w:lang w:eastAsia="pt-BR"/>
        </w:rPr>
        <w:t>Da COMISSÃO DE</w:t>
      </w:r>
      <w:r>
        <w:rPr>
          <w:rFonts w:ascii="Times New Roman" w:eastAsia="Arial Unicode MS" w:hAnsi="Times New Roman" w:cs="Times New Roman"/>
          <w:sz w:val="24"/>
          <w:szCs w:val="24"/>
          <w:lang w:eastAsia="pt-BR"/>
        </w:rPr>
        <w:t xml:space="preserve"> SERVIÇOS DE</w:t>
      </w:r>
      <w:r w:rsidRPr="00CA1015">
        <w:rPr>
          <w:rFonts w:ascii="Times New Roman" w:eastAsia="Arial Unicode MS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Arial Unicode MS" w:hAnsi="Times New Roman" w:cs="Times New Roman"/>
          <w:sz w:val="24"/>
          <w:szCs w:val="24"/>
          <w:lang w:eastAsia="pt-BR"/>
        </w:rPr>
        <w:t>INFRAESTRUTURA</w:t>
      </w:r>
      <w:r w:rsidRPr="00CA1015">
        <w:rPr>
          <w:rFonts w:ascii="Times New Roman" w:eastAsia="Arial Unicode MS" w:hAnsi="Times New Roman" w:cs="Times New Roman"/>
          <w:sz w:val="24"/>
          <w:szCs w:val="24"/>
          <w:lang w:eastAsia="pt-BR"/>
        </w:rPr>
        <w:t xml:space="preserve"> (C</w:t>
      </w:r>
      <w:r>
        <w:rPr>
          <w:rFonts w:ascii="Times New Roman" w:eastAsia="Arial Unicode MS" w:hAnsi="Times New Roman" w:cs="Times New Roman"/>
          <w:sz w:val="24"/>
          <w:szCs w:val="24"/>
          <w:lang w:eastAsia="pt-BR"/>
        </w:rPr>
        <w:t>I</w:t>
      </w:r>
      <w:r w:rsidRPr="00CA1015">
        <w:rPr>
          <w:rFonts w:ascii="Times New Roman" w:eastAsia="Arial Unicode MS" w:hAnsi="Times New Roman" w:cs="Times New Roman"/>
          <w:sz w:val="24"/>
          <w:szCs w:val="24"/>
          <w:lang w:eastAsia="pt-BR"/>
        </w:rPr>
        <w:t xml:space="preserve">), </w:t>
      </w:r>
      <w:r w:rsidRPr="00CA1015">
        <w:rPr>
          <w:rFonts w:ascii="Times New Roman" w:eastAsia="Times New Roman" w:hAnsi="Times New Roman" w:cs="Times New Roman"/>
          <w:sz w:val="24"/>
          <w:szCs w:val="20"/>
          <w:lang w:eastAsia="pt-BR"/>
        </w:rPr>
        <w:t>sobre o PLS nº 379, de 2008,</w:t>
      </w:r>
      <w:r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 autoria do Senador Renato Casagrande,</w:t>
      </w:r>
      <w:r w:rsidRPr="00CA1015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que “dispõe sobre incentivo à exploração e implantação de centrais de geração a partir de fonte eólica e dá outras providências.”</w:t>
      </w:r>
    </w:p>
    <w:p w:rsidR="00CA1015" w:rsidRDefault="00CA1015" w:rsidP="00CA1015">
      <w:pPr>
        <w:spacing w:after="960" w:line="240" w:lineRule="auto"/>
        <w:ind w:left="1440"/>
        <w:rPr>
          <w:rFonts w:ascii="Times New Roman" w:eastAsia="Times New Roman" w:hAnsi="Times New Roman" w:cs="Times New Roman"/>
          <w:b/>
          <w:caps/>
          <w:sz w:val="28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lang w:eastAsia="pt-BR"/>
        </w:rPr>
        <w:t xml:space="preserve">Relator: Senador </w:t>
      </w:r>
      <w:r w:rsidRPr="00CA1015">
        <w:rPr>
          <w:rFonts w:ascii="Times New Roman" w:eastAsia="Times New Roman" w:hAnsi="Times New Roman" w:cs="Times New Roman"/>
          <w:b/>
          <w:caps/>
          <w:sz w:val="28"/>
          <w:lang w:eastAsia="pt-BR"/>
        </w:rPr>
        <w:t>Fernando Bezerra Coelho</w:t>
      </w:r>
    </w:p>
    <w:p w:rsidR="00CB62E6" w:rsidRPr="00CA1015" w:rsidRDefault="00CB62E6" w:rsidP="00CA1015">
      <w:pPr>
        <w:spacing w:after="960" w:line="240" w:lineRule="auto"/>
        <w:ind w:left="1440"/>
        <w:rPr>
          <w:rFonts w:ascii="Times New Roman" w:eastAsia="Times New Roman" w:hAnsi="Times New Roman" w:cs="Times New Roman"/>
          <w:b/>
          <w:caps/>
          <w:sz w:val="28"/>
          <w:lang w:eastAsia="pt-BR"/>
        </w:rPr>
      </w:pPr>
    </w:p>
    <w:p w:rsidR="00CA1015" w:rsidRDefault="00CA1015" w:rsidP="00CA1015">
      <w:pPr>
        <w:spacing w:after="4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lang w:eastAsia="pt-BR"/>
        </w:rPr>
      </w:pPr>
      <w:r w:rsidRPr="00CA1015">
        <w:rPr>
          <w:rFonts w:ascii="Times New Roman" w:eastAsia="Times New Roman" w:hAnsi="Times New Roman" w:cs="Times New Roman"/>
          <w:b/>
          <w:bCs/>
          <w:sz w:val="28"/>
          <w:lang w:eastAsia="pt-BR"/>
        </w:rPr>
        <w:t>I – RELATÓRIO</w:t>
      </w:r>
    </w:p>
    <w:p w:rsidR="00CB62E6" w:rsidRPr="00CA1015" w:rsidRDefault="00CB62E6" w:rsidP="00CA1015">
      <w:pPr>
        <w:spacing w:after="4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lang w:eastAsia="pt-BR"/>
        </w:rPr>
      </w:pPr>
    </w:p>
    <w:p w:rsidR="00CA1015" w:rsidRPr="00CA1015" w:rsidRDefault="00CA1015" w:rsidP="00CA101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lang w:eastAsia="pt-BR"/>
        </w:rPr>
        <w:t xml:space="preserve">Vem para análise da Comissão de </w:t>
      </w:r>
      <w:r w:rsidR="006C6773">
        <w:rPr>
          <w:rFonts w:ascii="Times New Roman" w:eastAsia="Times New Roman" w:hAnsi="Times New Roman" w:cs="Times New Roman"/>
          <w:sz w:val="28"/>
          <w:lang w:eastAsia="pt-BR"/>
        </w:rPr>
        <w:t xml:space="preserve">Serviços de Infraestrutura </w:t>
      </w:r>
      <w:r w:rsidRPr="00CA1015">
        <w:rPr>
          <w:rFonts w:ascii="Times New Roman" w:eastAsia="Times New Roman" w:hAnsi="Times New Roman" w:cs="Times New Roman"/>
          <w:sz w:val="28"/>
          <w:lang w:eastAsia="pt-BR"/>
        </w:rPr>
        <w:t>(C</w:t>
      </w:r>
      <w:r w:rsidR="006C6773">
        <w:rPr>
          <w:rFonts w:ascii="Times New Roman" w:eastAsia="Times New Roman" w:hAnsi="Times New Roman" w:cs="Times New Roman"/>
          <w:sz w:val="28"/>
          <w:lang w:eastAsia="pt-BR"/>
        </w:rPr>
        <w:t>I</w:t>
      </w:r>
      <w:r w:rsidRPr="00CA1015">
        <w:rPr>
          <w:rFonts w:ascii="Times New Roman" w:eastAsia="Times New Roman" w:hAnsi="Times New Roman" w:cs="Times New Roman"/>
          <w:sz w:val="28"/>
          <w:lang w:eastAsia="pt-BR"/>
        </w:rPr>
        <w:t xml:space="preserve">) o Projeto de Lei do Senado (PLS) nº </w:t>
      </w:r>
      <w:r w:rsidR="006C6773">
        <w:rPr>
          <w:rFonts w:ascii="Times New Roman" w:eastAsia="Times New Roman" w:hAnsi="Times New Roman" w:cs="Times New Roman"/>
          <w:sz w:val="28"/>
          <w:lang w:eastAsia="pt-BR"/>
        </w:rPr>
        <w:t>379</w:t>
      </w:r>
      <w:r w:rsidRPr="00CA1015">
        <w:rPr>
          <w:rFonts w:ascii="Times New Roman" w:eastAsia="Times New Roman" w:hAnsi="Times New Roman" w:cs="Times New Roman"/>
          <w:sz w:val="28"/>
          <w:lang w:eastAsia="pt-BR"/>
        </w:rPr>
        <w:t>, de 20</w:t>
      </w:r>
      <w:r w:rsidR="006C6773">
        <w:rPr>
          <w:rFonts w:ascii="Times New Roman" w:eastAsia="Times New Roman" w:hAnsi="Times New Roman" w:cs="Times New Roman"/>
          <w:sz w:val="28"/>
          <w:lang w:eastAsia="pt-BR"/>
        </w:rPr>
        <w:t>08</w:t>
      </w:r>
      <w:r w:rsidRPr="00CA1015">
        <w:rPr>
          <w:rFonts w:ascii="Times New Roman" w:eastAsia="Times New Roman" w:hAnsi="Times New Roman" w:cs="Times New Roman"/>
          <w:sz w:val="28"/>
          <w:lang w:eastAsia="pt-BR"/>
        </w:rPr>
        <w:t xml:space="preserve">, do Senador </w:t>
      </w:r>
      <w:r w:rsidR="006C6773">
        <w:rPr>
          <w:rFonts w:ascii="Times New Roman" w:eastAsia="Times New Roman" w:hAnsi="Times New Roman" w:cs="Times New Roman"/>
          <w:sz w:val="28"/>
          <w:lang w:eastAsia="pt-BR"/>
        </w:rPr>
        <w:t>Renato Casagrande</w:t>
      </w:r>
      <w:r w:rsidRPr="00CA1015">
        <w:rPr>
          <w:rFonts w:ascii="Times New Roman" w:eastAsia="Times New Roman" w:hAnsi="Times New Roman" w:cs="Times New Roman"/>
          <w:sz w:val="28"/>
          <w:lang w:eastAsia="pt-BR"/>
        </w:rPr>
        <w:t>, que</w:t>
      </w:r>
      <w:r w:rsidR="006C6773" w:rsidRPr="006C6773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  <w:r w:rsidR="006C6773" w:rsidRPr="006C6773">
        <w:rPr>
          <w:rFonts w:ascii="Times New Roman" w:eastAsia="Times New Roman" w:hAnsi="Times New Roman" w:cs="Times New Roman"/>
          <w:sz w:val="28"/>
          <w:lang w:eastAsia="pt-BR"/>
        </w:rPr>
        <w:t>dispõe sobre incentivo à exploração e implantação de centrais de geração a partir de fonte eólica e dá outras providências</w:t>
      </w:r>
      <w:r w:rsidRPr="00CA1015">
        <w:rPr>
          <w:rFonts w:ascii="Times New Roman" w:eastAsia="Times New Roman" w:hAnsi="Times New Roman" w:cs="Times New Roman"/>
          <w:sz w:val="28"/>
          <w:lang w:eastAsia="pt-BR"/>
        </w:rPr>
        <w:t>.</w:t>
      </w:r>
    </w:p>
    <w:p w:rsidR="006C6773" w:rsidRPr="00CA1015" w:rsidRDefault="006C6773" w:rsidP="006C6773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O art. 1º estabelece que empreendimentos de geração elétrica de fonte eólica, independentemente da potência injetada na rede, têm 100% de desconto na Tarifa de Uso do Sistema de Transmissão (TUST) e na Tarifa de Uso do Sistema 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lastRenderedPageBreak/>
        <w:t xml:space="preserve">de Distribuição (TUSD), seja a energia elétrica consumida no Ambiente de Contratação Regulada (ACR), seja no Ambiente de Contratação Livre (ACL). O </w:t>
      </w:r>
      <w:r w:rsidR="002535F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parágrafo único do 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art. 1º determina que, após a amortização integral ou parcial do empreendimento, a Agência Nacional de Energia Elétrica (ANEEL) definirá um novo percentual de redução da TUST e da TUSD, garantida a competitividade da fonte eólica.</w:t>
      </w:r>
    </w:p>
    <w:p w:rsidR="006C6773" w:rsidRPr="00CA1015" w:rsidRDefault="002535F1" w:rsidP="006C6773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O</w:t>
      </w:r>
      <w:r w:rsidR="006C6773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art. 2º autoriza a Aneel a alterar ou fixar o percentual de desconto da TUST e da TUSD de todos os empreendimentos eólicos, independentemente da data de outorga e da potência instalada.</w:t>
      </w:r>
    </w:p>
    <w:p w:rsidR="006C6773" w:rsidRPr="00CA1015" w:rsidRDefault="002535F1" w:rsidP="006C6773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O</w:t>
      </w:r>
      <w:r w:rsidR="006C6773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art. 3º estipula o início da vigência da Lei a partir da data de sua publicação.</w:t>
      </w:r>
    </w:p>
    <w:p w:rsidR="00DD4541" w:rsidRDefault="00DD4541" w:rsidP="00CA101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Na</w:t>
      </w:r>
      <w:r w:rsidR="00764B27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Justificação, o autor destaca a importância do incentivo ao investimento na geração de energia</w:t>
      </w:r>
      <w:r w:rsidR="00267C40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renovável</w:t>
      </w:r>
      <w:r w:rsidR="00764B27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como a eólica,</w:t>
      </w:r>
      <w:r w:rsidR="00DC0DCA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mediante</w:t>
      </w:r>
      <w:r w:rsidR="00764B27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política de subsídios, prática adotada em diversos países desenvolvidos. </w:t>
      </w:r>
      <w:r w:rsidR="00DC0DCA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Ressalta ainda </w:t>
      </w:r>
      <w:r w:rsidR="00764B27">
        <w:rPr>
          <w:rFonts w:ascii="Times New Roman" w:eastAsia="Times New Roman" w:hAnsi="Times New Roman" w:cs="Times New Roman"/>
          <w:sz w:val="28"/>
          <w:szCs w:val="20"/>
          <w:lang w:eastAsia="pt-BR"/>
        </w:rPr>
        <w:t>o valor estratégico da energia eólica para a matriz energética nacional</w:t>
      </w:r>
      <w:r w:rsidR="007C2C91">
        <w:rPr>
          <w:rFonts w:ascii="Times New Roman" w:eastAsia="Times New Roman" w:hAnsi="Times New Roman" w:cs="Times New Roman"/>
          <w:sz w:val="28"/>
          <w:szCs w:val="20"/>
          <w:lang w:eastAsia="pt-BR"/>
        </w:rPr>
        <w:t>,</w:t>
      </w:r>
      <w:r w:rsidR="00764B27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 w:rsidR="00F44D34">
        <w:rPr>
          <w:rFonts w:ascii="Times New Roman" w:eastAsia="Times New Roman" w:hAnsi="Times New Roman" w:cs="Times New Roman"/>
          <w:sz w:val="28"/>
          <w:szCs w:val="20"/>
          <w:lang w:eastAsia="pt-BR"/>
        </w:rPr>
        <w:t>seu baixo impacto ambiental</w:t>
      </w:r>
      <w:r w:rsidR="007C2C9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e a ausência de impacto sobre a arrecadação de ICMS</w:t>
      </w:r>
      <w:r w:rsidR="00DC0DCA">
        <w:rPr>
          <w:rFonts w:ascii="Times New Roman" w:eastAsia="Times New Roman" w:hAnsi="Times New Roman" w:cs="Times New Roman"/>
          <w:sz w:val="28"/>
          <w:szCs w:val="20"/>
          <w:lang w:eastAsia="pt-BR"/>
        </w:rPr>
        <w:t>.</w:t>
      </w:r>
    </w:p>
    <w:p w:rsidR="00CA1015" w:rsidRDefault="00CA1015" w:rsidP="00CA101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O Projeto foi distribuído </w:t>
      </w:r>
      <w:r w:rsidR="00391D0A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inicialmente 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à Comissões de </w:t>
      </w:r>
      <w:r w:rsidR="00832ACF">
        <w:rPr>
          <w:rFonts w:ascii="Times New Roman" w:eastAsia="Times New Roman" w:hAnsi="Times New Roman" w:cs="Times New Roman"/>
          <w:sz w:val="28"/>
          <w:szCs w:val="20"/>
          <w:lang w:eastAsia="pt-BR"/>
        </w:rPr>
        <w:t>Assuntos Econômicos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(C</w:t>
      </w:r>
      <w:r w:rsidR="00832ACF">
        <w:rPr>
          <w:rFonts w:ascii="Times New Roman" w:eastAsia="Times New Roman" w:hAnsi="Times New Roman" w:cs="Times New Roman"/>
          <w:sz w:val="28"/>
          <w:szCs w:val="20"/>
          <w:lang w:eastAsia="pt-BR"/>
        </w:rPr>
        <w:t>AE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)</w:t>
      </w:r>
      <w:r w:rsidR="00391D0A">
        <w:rPr>
          <w:rFonts w:ascii="Times New Roman" w:eastAsia="Times New Roman" w:hAnsi="Times New Roman" w:cs="Times New Roman"/>
          <w:sz w:val="28"/>
          <w:szCs w:val="20"/>
          <w:lang w:eastAsia="pt-BR"/>
        </w:rPr>
        <w:t>, que em 30.10.2012 aprovou parecer pela rejeição da proposição.</w:t>
      </w:r>
      <w:r w:rsidR="005735F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A esta 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C</w:t>
      </w:r>
      <w:r w:rsidR="00832ACF">
        <w:rPr>
          <w:rFonts w:ascii="Times New Roman" w:eastAsia="Times New Roman" w:hAnsi="Times New Roman" w:cs="Times New Roman"/>
          <w:sz w:val="28"/>
          <w:szCs w:val="20"/>
          <w:lang w:eastAsia="pt-BR"/>
        </w:rPr>
        <w:t>I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cabe </w:t>
      </w:r>
      <w:r w:rsidR="005735F1">
        <w:rPr>
          <w:rFonts w:ascii="Times New Roman" w:eastAsia="Times New Roman" w:hAnsi="Times New Roman" w:cs="Times New Roman"/>
          <w:sz w:val="28"/>
          <w:szCs w:val="20"/>
          <w:lang w:eastAsia="pt-BR"/>
        </w:rPr>
        <w:t>proferir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decisão terminativa. Não houve emendas no prazo regimental.</w:t>
      </w:r>
    </w:p>
    <w:p w:rsidR="00CB62E6" w:rsidRPr="00CA1015" w:rsidRDefault="00CB62E6" w:rsidP="00CA101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:rsidR="00CA1015" w:rsidRPr="00CA1015" w:rsidRDefault="00CA1015" w:rsidP="00CA1015">
      <w:pPr>
        <w:spacing w:after="4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lang w:eastAsia="pt-BR"/>
        </w:rPr>
      </w:pPr>
      <w:r w:rsidRPr="00CA1015">
        <w:rPr>
          <w:rFonts w:ascii="Times New Roman" w:eastAsia="Times New Roman" w:hAnsi="Times New Roman" w:cs="Times New Roman"/>
          <w:b/>
          <w:bCs/>
          <w:sz w:val="28"/>
          <w:lang w:eastAsia="pt-BR"/>
        </w:rPr>
        <w:t>II – ANÁLISE</w:t>
      </w:r>
    </w:p>
    <w:p w:rsidR="008A7BEC" w:rsidRDefault="00D74C1F" w:rsidP="007D4115">
      <w:pPr>
        <w:spacing w:after="24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lang w:eastAsia="pt-BR"/>
        </w:rPr>
        <w:t>N</w:t>
      </w:r>
      <w:r w:rsidR="00CA1015" w:rsidRPr="00CA1015">
        <w:rPr>
          <w:rFonts w:ascii="Times New Roman" w:eastAsia="Times New Roman" w:hAnsi="Times New Roman" w:cs="Times New Roman"/>
          <w:sz w:val="28"/>
          <w:lang w:eastAsia="pt-BR"/>
        </w:rPr>
        <w:t>os termos do</w:t>
      </w:r>
      <w:r w:rsidR="0088250F">
        <w:rPr>
          <w:rFonts w:ascii="Times New Roman" w:eastAsia="Times New Roman" w:hAnsi="Times New Roman" w:cs="Times New Roman"/>
          <w:sz w:val="28"/>
          <w:lang w:eastAsia="pt-BR"/>
        </w:rPr>
        <w:t xml:space="preserve"> art. 91, I, combinado com art. 104, I, do Regimento Interno do Senado Federal, </w:t>
      </w:r>
      <w:r>
        <w:rPr>
          <w:rFonts w:ascii="Times New Roman" w:eastAsia="Times New Roman" w:hAnsi="Times New Roman" w:cs="Times New Roman"/>
          <w:sz w:val="28"/>
          <w:lang w:eastAsia="pt-BR"/>
        </w:rPr>
        <w:t>a CI deve se manifestar</w:t>
      </w:r>
      <w:r w:rsidR="0088250F">
        <w:rPr>
          <w:rFonts w:ascii="Times New Roman" w:eastAsia="Times New Roman" w:hAnsi="Times New Roman" w:cs="Times New Roman"/>
          <w:sz w:val="28"/>
          <w:lang w:eastAsia="pt-BR"/>
        </w:rPr>
        <w:t xml:space="preserve"> em caráter definitivo sobre o mérito, constitucionalidade, regimentalidade e juridicidade da proposição.</w:t>
      </w:r>
    </w:p>
    <w:p w:rsidR="009913DB" w:rsidRDefault="008A7BEC" w:rsidP="007D4115">
      <w:pPr>
        <w:spacing w:after="24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lang w:eastAsia="pt-BR"/>
        </w:rPr>
        <w:t>Compete privativamente à União legislar sobre energia (art. 22, IV, da Constituição Federal)</w:t>
      </w:r>
      <w:r w:rsidR="009913DB">
        <w:rPr>
          <w:rFonts w:ascii="Times New Roman" w:eastAsia="Times New Roman" w:hAnsi="Times New Roman" w:cs="Times New Roman"/>
          <w:sz w:val="28"/>
          <w:lang w:eastAsia="pt-BR"/>
        </w:rPr>
        <w:t xml:space="preserve">, </w:t>
      </w:r>
      <w:r w:rsidR="00F44D34">
        <w:rPr>
          <w:rFonts w:ascii="Times New Roman" w:eastAsia="Times New Roman" w:hAnsi="Times New Roman" w:cs="Times New Roman"/>
          <w:sz w:val="28"/>
          <w:lang w:eastAsia="pt-BR"/>
        </w:rPr>
        <w:t>não sendo</w:t>
      </w:r>
      <w:r w:rsidR="007914FF">
        <w:rPr>
          <w:rFonts w:ascii="Times New Roman" w:eastAsia="Times New Roman" w:hAnsi="Times New Roman" w:cs="Times New Roman"/>
          <w:sz w:val="28"/>
          <w:lang w:eastAsia="pt-BR"/>
        </w:rPr>
        <w:t xml:space="preserve"> a</w:t>
      </w:r>
      <w:r w:rsidR="009913DB">
        <w:rPr>
          <w:rFonts w:ascii="Times New Roman" w:eastAsia="Times New Roman" w:hAnsi="Times New Roman" w:cs="Times New Roman"/>
          <w:sz w:val="28"/>
          <w:lang w:eastAsia="pt-BR"/>
        </w:rPr>
        <w:t xml:space="preserve"> matéria</w:t>
      </w:r>
      <w:r w:rsidR="007914FF">
        <w:rPr>
          <w:rFonts w:ascii="Times New Roman" w:eastAsia="Times New Roman" w:hAnsi="Times New Roman" w:cs="Times New Roman"/>
          <w:sz w:val="28"/>
          <w:lang w:eastAsia="pt-BR"/>
        </w:rPr>
        <w:t xml:space="preserve"> </w:t>
      </w:r>
      <w:r w:rsidR="00F44D34">
        <w:rPr>
          <w:rFonts w:ascii="Times New Roman" w:eastAsia="Times New Roman" w:hAnsi="Times New Roman" w:cs="Times New Roman"/>
          <w:sz w:val="28"/>
          <w:lang w:eastAsia="pt-BR"/>
        </w:rPr>
        <w:t>de iniciativa reservada</w:t>
      </w:r>
      <w:r w:rsidR="009913DB">
        <w:rPr>
          <w:rFonts w:ascii="Times New Roman" w:eastAsia="Times New Roman" w:hAnsi="Times New Roman" w:cs="Times New Roman"/>
          <w:sz w:val="28"/>
          <w:lang w:eastAsia="pt-BR"/>
        </w:rPr>
        <w:t xml:space="preserve"> (art. 61).</w:t>
      </w:r>
    </w:p>
    <w:p w:rsidR="00F44109" w:rsidRDefault="0020234A" w:rsidP="007D4115">
      <w:pPr>
        <w:spacing w:after="24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lang w:eastAsia="pt-BR"/>
        </w:rPr>
        <w:t>A</w:t>
      </w:r>
      <w:r w:rsidR="00F44109">
        <w:rPr>
          <w:rFonts w:ascii="Times New Roman" w:eastAsia="Times New Roman" w:hAnsi="Times New Roman" w:cs="Times New Roman"/>
          <w:sz w:val="28"/>
          <w:lang w:eastAsia="pt-BR"/>
        </w:rPr>
        <w:t xml:space="preserve"> proposta</w:t>
      </w:r>
      <w:r w:rsidR="00464FA1">
        <w:rPr>
          <w:rFonts w:ascii="Times New Roman" w:eastAsia="Times New Roman" w:hAnsi="Times New Roman" w:cs="Times New Roman"/>
          <w:sz w:val="28"/>
          <w:lang w:eastAsia="pt-BR"/>
        </w:rPr>
        <w:t xml:space="preserve"> não</w:t>
      </w:r>
      <w:r w:rsidR="00F44109">
        <w:rPr>
          <w:rFonts w:ascii="Times New Roman" w:eastAsia="Times New Roman" w:hAnsi="Times New Roman" w:cs="Times New Roman"/>
          <w:sz w:val="28"/>
          <w:lang w:eastAsia="pt-BR"/>
        </w:rPr>
        <w:t xml:space="preserve"> implica renúncia de receita</w:t>
      </w:r>
      <w:r w:rsidR="00464FA1">
        <w:rPr>
          <w:rFonts w:ascii="Times New Roman" w:eastAsia="Times New Roman" w:hAnsi="Times New Roman" w:cs="Times New Roman"/>
          <w:sz w:val="28"/>
          <w:lang w:eastAsia="pt-BR"/>
        </w:rPr>
        <w:t xml:space="preserve">, dada a natureza da TUSD e TUST, logo não </w:t>
      </w:r>
      <w:r w:rsidR="003C2CB6">
        <w:rPr>
          <w:rFonts w:ascii="Times New Roman" w:eastAsia="Times New Roman" w:hAnsi="Times New Roman" w:cs="Times New Roman"/>
          <w:sz w:val="28"/>
          <w:lang w:eastAsia="pt-BR"/>
        </w:rPr>
        <w:t>há</w:t>
      </w:r>
      <w:r w:rsidR="00464FA1">
        <w:rPr>
          <w:rFonts w:ascii="Times New Roman" w:eastAsia="Times New Roman" w:hAnsi="Times New Roman" w:cs="Times New Roman"/>
          <w:sz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pt-BR"/>
        </w:rPr>
        <w:t>reflexos</w:t>
      </w:r>
      <w:r w:rsidR="00464FA1">
        <w:rPr>
          <w:rFonts w:ascii="Times New Roman" w:eastAsia="Times New Roman" w:hAnsi="Times New Roman" w:cs="Times New Roman"/>
          <w:sz w:val="28"/>
          <w:lang w:eastAsia="pt-BR"/>
        </w:rPr>
        <w:t xml:space="preserve"> no plano orçamentário e fiscal</w:t>
      </w:r>
      <w:r w:rsidR="00F44109">
        <w:rPr>
          <w:rFonts w:ascii="Times New Roman" w:eastAsia="Times New Roman" w:hAnsi="Times New Roman" w:cs="Times New Roman"/>
          <w:sz w:val="28"/>
          <w:lang w:eastAsia="pt-BR"/>
        </w:rPr>
        <w:t>.</w:t>
      </w:r>
    </w:p>
    <w:p w:rsidR="00217121" w:rsidRDefault="00AA6F5E" w:rsidP="0020234A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No mérito, </w:t>
      </w:r>
      <w:r w:rsidR="0021712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é possível observar </w:t>
      </w:r>
      <w:r w:rsidR="00A22AE2">
        <w:rPr>
          <w:rFonts w:ascii="Times New Roman" w:eastAsia="Times New Roman" w:hAnsi="Times New Roman" w:cs="Times New Roman"/>
          <w:sz w:val="28"/>
          <w:szCs w:val="20"/>
          <w:lang w:eastAsia="pt-BR"/>
        </w:rPr>
        <w:t>que</w:t>
      </w:r>
      <w:r w:rsidR="005173F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de 2008</w:t>
      </w:r>
      <w:r w:rsidR="00546578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 w:rsidR="005173F5">
        <w:rPr>
          <w:rFonts w:ascii="Times New Roman" w:eastAsia="Times New Roman" w:hAnsi="Times New Roman" w:cs="Times New Roman"/>
          <w:sz w:val="28"/>
          <w:szCs w:val="20"/>
          <w:lang w:eastAsia="pt-BR"/>
        </w:rPr>
        <w:t>(</w:t>
      </w:r>
      <w:r w:rsidR="00546578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ano de </w:t>
      </w:r>
      <w:r w:rsidR="00217121">
        <w:rPr>
          <w:rFonts w:ascii="Times New Roman" w:eastAsia="Times New Roman" w:hAnsi="Times New Roman" w:cs="Times New Roman"/>
          <w:sz w:val="28"/>
          <w:szCs w:val="20"/>
          <w:lang w:eastAsia="pt-BR"/>
        </w:rPr>
        <w:t>aprese</w:t>
      </w:r>
      <w:r w:rsidR="00546578">
        <w:rPr>
          <w:rFonts w:ascii="Times New Roman" w:eastAsia="Times New Roman" w:hAnsi="Times New Roman" w:cs="Times New Roman"/>
          <w:sz w:val="28"/>
          <w:szCs w:val="20"/>
          <w:lang w:eastAsia="pt-BR"/>
        </w:rPr>
        <w:t>ntação</w:t>
      </w:r>
      <w:r w:rsidR="0021712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 w:rsidR="00546578">
        <w:rPr>
          <w:rFonts w:ascii="Times New Roman" w:eastAsia="Times New Roman" w:hAnsi="Times New Roman" w:cs="Times New Roman"/>
          <w:sz w:val="28"/>
          <w:szCs w:val="20"/>
          <w:lang w:eastAsia="pt-BR"/>
        </w:rPr>
        <w:t>d</w:t>
      </w:r>
      <w:r w:rsidR="00217121">
        <w:rPr>
          <w:rFonts w:ascii="Times New Roman" w:eastAsia="Times New Roman" w:hAnsi="Times New Roman" w:cs="Times New Roman"/>
          <w:sz w:val="28"/>
          <w:szCs w:val="20"/>
          <w:lang w:eastAsia="pt-BR"/>
        </w:rPr>
        <w:t>o PLS</w:t>
      </w:r>
      <w:r w:rsidR="005173F5">
        <w:rPr>
          <w:rFonts w:ascii="Times New Roman" w:eastAsia="Times New Roman" w:hAnsi="Times New Roman" w:cs="Times New Roman"/>
          <w:sz w:val="28"/>
          <w:szCs w:val="20"/>
          <w:lang w:eastAsia="pt-BR"/>
        </w:rPr>
        <w:t>)</w:t>
      </w:r>
      <w:r w:rsidR="0021712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 w:rsidR="00A22AE2">
        <w:rPr>
          <w:rFonts w:ascii="Times New Roman" w:eastAsia="Times New Roman" w:hAnsi="Times New Roman" w:cs="Times New Roman"/>
          <w:sz w:val="28"/>
          <w:szCs w:val="20"/>
          <w:lang w:eastAsia="pt-BR"/>
        </w:rPr>
        <w:t>a</w:t>
      </w:r>
      <w:r w:rsidR="0021712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2016, </w:t>
      </w:r>
      <w:r w:rsidR="00A22AE2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houve sensível avanço </w:t>
      </w:r>
      <w:r w:rsidR="00217121">
        <w:rPr>
          <w:rFonts w:ascii="Times New Roman" w:eastAsia="Times New Roman" w:hAnsi="Times New Roman" w:cs="Times New Roman"/>
          <w:sz w:val="28"/>
          <w:szCs w:val="20"/>
          <w:lang w:eastAsia="pt-BR"/>
        </w:rPr>
        <w:t>n</w:t>
      </w:r>
      <w:r w:rsidR="00E77582">
        <w:rPr>
          <w:rFonts w:ascii="Times New Roman" w:eastAsia="Times New Roman" w:hAnsi="Times New Roman" w:cs="Times New Roman"/>
          <w:sz w:val="28"/>
          <w:szCs w:val="20"/>
          <w:lang w:eastAsia="pt-BR"/>
        </w:rPr>
        <w:t>a</w:t>
      </w:r>
      <w:r w:rsidR="00A22AE2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geração de energia</w:t>
      </w:r>
      <w:r w:rsidR="0021712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eólic</w:t>
      </w:r>
      <w:r w:rsidR="00A22AE2">
        <w:rPr>
          <w:rFonts w:ascii="Times New Roman" w:eastAsia="Times New Roman" w:hAnsi="Times New Roman" w:cs="Times New Roman"/>
          <w:sz w:val="28"/>
          <w:szCs w:val="20"/>
          <w:lang w:eastAsia="pt-BR"/>
        </w:rPr>
        <w:t>a</w:t>
      </w:r>
      <w:r w:rsidR="00E77582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no país</w:t>
      </w:r>
      <w:r w:rsidR="00A22AE2">
        <w:rPr>
          <w:rFonts w:ascii="Times New Roman" w:eastAsia="Times New Roman" w:hAnsi="Times New Roman" w:cs="Times New Roman"/>
          <w:sz w:val="28"/>
          <w:szCs w:val="20"/>
          <w:lang w:eastAsia="pt-BR"/>
        </w:rPr>
        <w:t>, com significativo ganho de competitividade e redução de custos</w:t>
      </w:r>
      <w:r w:rsidR="00E77582">
        <w:rPr>
          <w:rFonts w:ascii="Times New Roman" w:eastAsia="Times New Roman" w:hAnsi="Times New Roman" w:cs="Times New Roman"/>
          <w:sz w:val="28"/>
          <w:szCs w:val="20"/>
          <w:lang w:eastAsia="pt-BR"/>
        </w:rPr>
        <w:t>. O raciocínio do nobre proponente justificava-se nos idos de 2008, não mais, contudo, no presente cenário</w:t>
      </w:r>
      <w:r w:rsidR="00A22AE2">
        <w:rPr>
          <w:rFonts w:ascii="Times New Roman" w:eastAsia="Times New Roman" w:hAnsi="Times New Roman" w:cs="Times New Roman"/>
          <w:sz w:val="28"/>
          <w:szCs w:val="20"/>
          <w:lang w:eastAsia="pt-BR"/>
        </w:rPr>
        <w:t>.</w:t>
      </w:r>
    </w:p>
    <w:p w:rsidR="0020234A" w:rsidRPr="003C2CB6" w:rsidRDefault="009E289F" w:rsidP="0020234A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O</w:t>
      </w:r>
      <w:r w:rsidR="0020234A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marco inicial da inserção em larga escala da fonte eólica na matriz elétrica brasileira foi a criação do Programa de Incentivo às Fontes Alternativas</w:t>
      </w:r>
      <w:r w:rsidR="002F7510">
        <w:rPr>
          <w:rStyle w:val="Refdenotaderodap"/>
          <w:rFonts w:ascii="Times New Roman" w:eastAsia="Times New Roman" w:hAnsi="Times New Roman" w:cs="Times New Roman"/>
          <w:sz w:val="28"/>
          <w:szCs w:val="20"/>
          <w:lang w:eastAsia="pt-BR"/>
        </w:rPr>
        <w:footnoteReference w:id="1"/>
      </w:r>
      <w:r w:rsidR="0020234A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de Energia Elétrica (PROINFA) pela Lei nº 10.438, de 2002</w:t>
      </w:r>
      <w:r w:rsidR="0020234A">
        <w:rPr>
          <w:rFonts w:ascii="Times New Roman" w:eastAsia="Times New Roman" w:hAnsi="Times New Roman" w:cs="Times New Roman"/>
          <w:sz w:val="28"/>
          <w:szCs w:val="20"/>
          <w:lang w:eastAsia="pt-BR"/>
        </w:rPr>
        <w:t>, cujo</w:t>
      </w:r>
      <w:r w:rsidR="0020234A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objetivo</w:t>
      </w:r>
      <w:r w:rsidR="0020234A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consiste em</w:t>
      </w:r>
      <w:r w:rsidR="0020234A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 w:rsidR="0020234A" w:rsidRPr="003C2CB6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aumentar a participação da energia elétrica produzida por empreendimentos de Produtores Independentes Autônomos, concebidos com base em fontes eólica, pequenas centrais hidrelétricas e biomassa. </w:t>
      </w:r>
    </w:p>
    <w:p w:rsidR="00F33AA8" w:rsidRDefault="0020234A" w:rsidP="00AA6F5E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O ponto principal do PLS nº 379, de 2008, é </w:t>
      </w:r>
      <w:r w:rsidR="00A843F6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ampliar para 100% 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o desconto na TUST e na TUSD para a geração eólio-elétrica. A fonte eólica já possui desconto</w:t>
      </w:r>
      <w:r w:rsidR="00AA6F5E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de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no mínimo </w:t>
      </w:r>
      <w:r w:rsidR="00AA6F5E">
        <w:rPr>
          <w:rFonts w:ascii="Times New Roman" w:eastAsia="Times New Roman" w:hAnsi="Times New Roman" w:cs="Times New Roman"/>
          <w:sz w:val="28"/>
          <w:szCs w:val="20"/>
          <w:lang w:eastAsia="pt-BR"/>
        </w:rPr>
        <w:t>50%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na TUST e TUSD, na forma estabelecida pelo art. 26 da Lei nº 9.427, de 1996</w:t>
      </w:r>
      <w:r w:rsidR="00BD3F68">
        <w:rPr>
          <w:rFonts w:ascii="Times New Roman" w:eastAsia="Times New Roman" w:hAnsi="Times New Roman" w:cs="Times New Roman"/>
          <w:sz w:val="28"/>
          <w:szCs w:val="20"/>
          <w:lang w:eastAsia="pt-BR"/>
        </w:rPr>
        <w:t>,</w:t>
      </w:r>
      <w:r w:rsidR="00AA6F5E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introduzido pela Lei nº 10.438, de 2002, e tem sido mantido desde então. </w:t>
      </w:r>
    </w:p>
    <w:p w:rsidR="00AA6F5E" w:rsidRDefault="00AA6F5E" w:rsidP="00AA6F5E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Com </w:t>
      </w:r>
      <w:r w:rsidR="00F73F6B">
        <w:rPr>
          <w:rFonts w:ascii="Times New Roman" w:eastAsia="Times New Roman" w:hAnsi="Times New Roman" w:cs="Times New Roman"/>
          <w:sz w:val="28"/>
          <w:szCs w:val="20"/>
          <w:lang w:eastAsia="pt-BR"/>
        </w:rPr>
        <w:t>o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nível de subsídio</w:t>
      </w:r>
      <w:r w:rsidR="00F73F6B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de </w:t>
      </w:r>
      <w:r w:rsidR="00DE45CA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no mínimo </w:t>
      </w:r>
      <w:r w:rsidR="00F73F6B">
        <w:rPr>
          <w:rFonts w:ascii="Times New Roman" w:eastAsia="Times New Roman" w:hAnsi="Times New Roman" w:cs="Times New Roman"/>
          <w:sz w:val="28"/>
          <w:szCs w:val="20"/>
          <w:lang w:eastAsia="pt-BR"/>
        </w:rPr>
        <w:t>50%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, a fonte eólica expandiu-se no Brasil e atingiu a maturidade econômica, mostrando que esse incentivo já cumpriu seu papel. </w:t>
      </w:r>
      <w:r w:rsidR="00BD3F68">
        <w:rPr>
          <w:rFonts w:ascii="Times New Roman" w:eastAsia="Times New Roman" w:hAnsi="Times New Roman" w:cs="Times New Roman"/>
          <w:sz w:val="28"/>
          <w:szCs w:val="20"/>
          <w:lang w:eastAsia="pt-BR"/>
        </w:rPr>
        <w:t>A propósito, confira-se o gráfico a seguir:</w:t>
      </w:r>
    </w:p>
    <w:p w:rsidR="00BD3F68" w:rsidRDefault="00BD3F68" w:rsidP="00AA6F5E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:rsidR="008860CD" w:rsidRPr="00CA1015" w:rsidRDefault="008860CD" w:rsidP="008860C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CA1015">
        <w:rPr>
          <w:rFonts w:ascii="Times New Roman" w:eastAsia="Times New Roman" w:hAnsi="Times New Roman" w:cs="Times New Roman"/>
          <w:noProof/>
          <w:sz w:val="28"/>
          <w:szCs w:val="20"/>
          <w:lang w:eastAsia="pt-BR"/>
        </w:rPr>
        <w:drawing>
          <wp:inline distT="0" distB="0" distL="0" distR="0">
            <wp:extent cx="5400040" cy="2177777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77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0CD" w:rsidRPr="00CA1015" w:rsidRDefault="008860CD" w:rsidP="008860CD">
      <w:pPr>
        <w:spacing w:after="36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101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Figura 1 –</w:t>
      </w:r>
      <w:r w:rsidRPr="00CA101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Evolução dos preços da energia eólica contratada nos leilões realizados pela Aneel (LEN – Leilão de Energia Nova; LFA – Leilão de Fontes Alternativas; LER – Leilão de Energia de Reserva)</w:t>
      </w:r>
      <w:r w:rsidRPr="00CA101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footnoteReference w:id="2"/>
      </w:r>
      <w:r w:rsidRPr="00CA101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502CE" w:rsidRDefault="00F33AA8" w:rsidP="00FC754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O expressivo crescimento da participação da geração eólica na matriz elétrica brasileira só foi possível devido ao aumento da competitividade dessa fonte ao longo dos anos. N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o gráfico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é apresentado o valor médio por MWh, a valores correntes em dezembro de 2015, da energia eólio-elétrica contratada nos diversos leilões promovidos pela Aneel.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D</w:t>
      </w:r>
      <w:r w:rsidR="008860CD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esde o P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ROINFA</w:t>
      </w:r>
      <w:r w:rsidR="008860CD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, em 2004, até o 15º Leilão de Energia Nova (LEN)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, em 2012</w:t>
      </w:r>
      <w:r w:rsidR="008860CD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, os preços da energia eólio-elétrica caíram mais de 70%. 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A </w:t>
      </w:r>
      <w:r w:rsidR="008860CD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partir de 2015, houve um aumento de 20% a 30% nos pr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eços da energia eólio-elétrica, relacionado não</w:t>
      </w:r>
      <w:r w:rsidR="008860CD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a questões específicas da geração eólica, mas ao maior rigor das regras de financiamento dos empreendimentos pelo BNDES</w:t>
      </w:r>
      <w:r w:rsidR="008860CD" w:rsidRPr="00CA1015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pt-BR"/>
        </w:rPr>
        <w:footnoteReference w:id="3"/>
      </w:r>
      <w:r w:rsidR="008860CD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e à percepção pelos investidores do aumento do risco regulatório no setor elétrico</w:t>
      </w:r>
      <w:r w:rsidR="008860CD" w:rsidRPr="00CA1015">
        <w:rPr>
          <w:rFonts w:ascii="Times New Roman" w:eastAsia="Times New Roman" w:hAnsi="Times New Roman" w:cs="Times New Roman"/>
          <w:sz w:val="28"/>
          <w:szCs w:val="20"/>
          <w:vertAlign w:val="superscript"/>
          <w:lang w:eastAsia="pt-BR"/>
        </w:rPr>
        <w:footnoteReference w:id="4"/>
      </w:r>
      <w:r w:rsidR="008860CD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.</w:t>
      </w:r>
    </w:p>
    <w:p w:rsidR="004502CE" w:rsidRPr="00CA1015" w:rsidRDefault="004502CE" w:rsidP="004502CE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Em termos de preço, a fonte eólica está em desvantagem apenas para as grandes hidrelétricas</w:t>
      </w:r>
      <w:r w:rsidR="00DE45CA">
        <w:rPr>
          <w:rFonts w:ascii="Times New Roman" w:eastAsia="Times New Roman" w:hAnsi="Times New Roman" w:cs="Times New Roman"/>
          <w:sz w:val="28"/>
          <w:szCs w:val="20"/>
          <w:lang w:eastAsia="pt-BR"/>
        </w:rPr>
        <w:t>, conforme se extrai dos leilões de 2015 da ANEEL</w:t>
      </w:r>
      <w:r w:rsidR="00277810">
        <w:rPr>
          <w:rFonts w:ascii="Times New Roman" w:eastAsia="Times New Roman" w:hAnsi="Times New Roman" w:cs="Times New Roman"/>
          <w:sz w:val="28"/>
          <w:szCs w:val="20"/>
          <w:lang w:eastAsia="pt-BR"/>
        </w:rPr>
        <w:t>:</w:t>
      </w:r>
    </w:p>
    <w:p w:rsidR="004502CE" w:rsidRPr="00CA1015" w:rsidRDefault="004502CE" w:rsidP="004502C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A101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Tabela 1 – </w:t>
      </w:r>
      <w:r w:rsidRPr="00CA1015">
        <w:rPr>
          <w:rFonts w:ascii="Times New Roman" w:eastAsia="Times New Roman" w:hAnsi="Times New Roman" w:cs="Times New Roman"/>
          <w:sz w:val="24"/>
          <w:szCs w:val="24"/>
          <w:lang w:eastAsia="pt-BR"/>
        </w:rPr>
        <w:t>Preços médios nominais (R$) das fontes renováveis nos leilões da Aneel em 2015</w:t>
      </w:r>
      <w:r w:rsidRPr="00CA101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t-BR"/>
        </w:rPr>
        <w:footnoteReference w:id="5"/>
      </w:r>
      <w:r w:rsidRPr="00CA101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382"/>
        <w:gridCol w:w="1382"/>
        <w:gridCol w:w="1382"/>
        <w:gridCol w:w="1382"/>
        <w:gridCol w:w="1490"/>
      </w:tblGrid>
      <w:tr w:rsidR="004502CE" w:rsidRPr="00CA1015" w:rsidTr="00114678">
        <w:tc>
          <w:tcPr>
            <w:tcW w:w="1668" w:type="dxa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Leilão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Eólica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UHE*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PCH*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Biomassa</w:t>
            </w:r>
          </w:p>
        </w:tc>
        <w:tc>
          <w:tcPr>
            <w:tcW w:w="1490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Fotovoltaica</w:t>
            </w:r>
          </w:p>
        </w:tc>
      </w:tr>
      <w:tr w:rsidR="004502CE" w:rsidRPr="00CA1015" w:rsidTr="00114678">
        <w:tc>
          <w:tcPr>
            <w:tcW w:w="1668" w:type="dxa"/>
          </w:tcPr>
          <w:p w:rsidR="004502CE" w:rsidRPr="00CA1015" w:rsidRDefault="004502CE" w:rsidP="00114678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LFA 02/2015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177,47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210,33</w:t>
            </w:r>
          </w:p>
        </w:tc>
        <w:tc>
          <w:tcPr>
            <w:tcW w:w="1490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</w:tr>
      <w:tr w:rsidR="004502CE" w:rsidRPr="00CA1015" w:rsidTr="00114678">
        <w:tc>
          <w:tcPr>
            <w:tcW w:w="1668" w:type="dxa"/>
          </w:tcPr>
          <w:p w:rsidR="004502CE" w:rsidRPr="00CA1015" w:rsidRDefault="004502CE" w:rsidP="00114678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LEN 03/2015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182,25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204,32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274,17</w:t>
            </w:r>
          </w:p>
        </w:tc>
        <w:tc>
          <w:tcPr>
            <w:tcW w:w="1490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</w:tr>
      <w:tr w:rsidR="004502CE" w:rsidRPr="00CA1015" w:rsidTr="00114678">
        <w:tc>
          <w:tcPr>
            <w:tcW w:w="1668" w:type="dxa"/>
          </w:tcPr>
          <w:p w:rsidR="004502CE" w:rsidRPr="00CA1015" w:rsidRDefault="004502CE" w:rsidP="00114678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LEN 04/2015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181,09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204,98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211,37</w:t>
            </w:r>
          </w:p>
        </w:tc>
        <w:tc>
          <w:tcPr>
            <w:tcW w:w="1490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</w:tr>
      <w:tr w:rsidR="004502CE" w:rsidRPr="00CA1015" w:rsidTr="00114678">
        <w:tc>
          <w:tcPr>
            <w:tcW w:w="1668" w:type="dxa"/>
          </w:tcPr>
          <w:p w:rsidR="004502CE" w:rsidRPr="00CA1015" w:rsidRDefault="004502CE" w:rsidP="00114678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LER 08/2015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90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301,64</w:t>
            </w:r>
          </w:p>
        </w:tc>
      </w:tr>
      <w:tr w:rsidR="004502CE" w:rsidRPr="00CA1015" w:rsidTr="00114678">
        <w:tc>
          <w:tcPr>
            <w:tcW w:w="1668" w:type="dxa"/>
          </w:tcPr>
          <w:p w:rsidR="004502CE" w:rsidRPr="00CA1015" w:rsidRDefault="004502CE" w:rsidP="00114678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LER 09/2015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203,30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382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490" w:type="dxa"/>
            <w:vAlign w:val="center"/>
          </w:tcPr>
          <w:p w:rsidR="004502CE" w:rsidRPr="00CA1015" w:rsidRDefault="004502CE" w:rsidP="00114678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1015">
              <w:rPr>
                <w:rFonts w:ascii="Times New Roman" w:eastAsia="Times New Roman" w:hAnsi="Times New Roman" w:cs="Times New Roman"/>
                <w:sz w:val="24"/>
                <w:szCs w:val="24"/>
              </w:rPr>
              <w:t>297,37</w:t>
            </w:r>
          </w:p>
        </w:tc>
      </w:tr>
    </w:tbl>
    <w:p w:rsidR="004502CE" w:rsidRPr="00E95D68" w:rsidRDefault="004502CE" w:rsidP="004502CE">
      <w:pPr>
        <w:spacing w:after="36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CA1015">
        <w:rPr>
          <w:rFonts w:ascii="Times New Roman" w:eastAsia="Times New Roman" w:hAnsi="Times New Roman" w:cs="Times New Roman"/>
          <w:sz w:val="20"/>
          <w:szCs w:val="20"/>
          <w:lang w:eastAsia="pt-BR"/>
        </w:rPr>
        <w:t>* UHE – Usina Hidrelétrica; PCH – Pequena Central Hidrelétrica.</w:t>
      </w:r>
    </w:p>
    <w:p w:rsidR="009129E6" w:rsidRPr="00CA1015" w:rsidRDefault="009129E6" w:rsidP="009129E6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No caso da </w:t>
      </w:r>
      <w:r w:rsidRPr="009129E6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>TUST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, </w:t>
      </w:r>
      <w:r w:rsidRPr="009129E6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>o atual subsídio das fontes incentivadas</w:t>
      </w:r>
      <w:r w:rsidR="00B86AA7">
        <w:rPr>
          <w:rStyle w:val="Refdenotaderodap"/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footnoteReference w:id="6"/>
      </w:r>
      <w:r w:rsidRPr="009129E6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 xml:space="preserve"> (desconto)</w:t>
      </w:r>
      <w:r w:rsidR="004D2CF0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>, incluindo a eólica,</w:t>
      </w:r>
      <w:r w:rsidRPr="009129E6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 xml:space="preserve"> é suportado por outros pagantes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, geradores e consumidores, já que a concessionária de transmissão não pode ser prejudicada em sua receita</w:t>
      </w:r>
      <w:r w:rsidR="003F0918">
        <w:rPr>
          <w:rFonts w:ascii="Times New Roman" w:eastAsia="Times New Roman" w:hAnsi="Times New Roman" w:cs="Times New Roman"/>
          <w:sz w:val="28"/>
          <w:szCs w:val="20"/>
          <w:lang w:eastAsia="pt-BR"/>
        </w:rPr>
        <w:t>.</w:t>
      </w:r>
    </w:p>
    <w:p w:rsidR="009129E6" w:rsidRDefault="009129E6" w:rsidP="009129E6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O mesmo acontece no </w:t>
      </w:r>
      <w:r w:rsidRPr="009129E6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>atual subsídio da TUSD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que é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absorvido pela Conta de Desenvolvimento Energético (CDE), </w:t>
      </w:r>
      <w:r w:rsidR="002E1089">
        <w:rPr>
          <w:rFonts w:ascii="Times New Roman" w:eastAsia="Times New Roman" w:hAnsi="Times New Roman" w:cs="Times New Roman"/>
          <w:sz w:val="28"/>
          <w:szCs w:val="20"/>
          <w:lang w:eastAsia="pt-BR"/>
        </w:rPr>
        <w:t>cujo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 w:rsidRPr="009129E6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>rate</w:t>
      </w:r>
      <w:r w:rsidR="002E1089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>io se dá</w:t>
      </w:r>
      <w:r w:rsidRPr="009129E6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 xml:space="preserve"> em quotas anuais pagas por t</w:t>
      </w:r>
      <w:r w:rsidR="003F0918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>odos os agentes que comercializa</w:t>
      </w:r>
      <w:r w:rsidRPr="009129E6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 xml:space="preserve">m energia com </w:t>
      </w:r>
      <w:r w:rsidR="003F0918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 xml:space="preserve">o </w:t>
      </w:r>
      <w:r w:rsidRPr="009129E6">
        <w:rPr>
          <w:rFonts w:ascii="Times New Roman" w:eastAsia="Times New Roman" w:hAnsi="Times New Roman" w:cs="Times New Roman"/>
          <w:sz w:val="28"/>
          <w:szCs w:val="20"/>
          <w:u w:val="single"/>
          <w:lang w:eastAsia="pt-BR"/>
        </w:rPr>
        <w:t>consumidor final</w:t>
      </w:r>
      <w:r w:rsidRPr="009129E6">
        <w:rPr>
          <w:rFonts w:ascii="Times New Roman" w:eastAsia="Times New Roman" w:hAnsi="Times New Roman" w:cs="Times New Roman"/>
          <w:sz w:val="28"/>
          <w:szCs w:val="20"/>
          <w:lang w:eastAsia="pt-BR"/>
        </w:rPr>
        <w:t>, mediante encargo tarifário incluído nas tarifas de uso dos sistemas de transmissão ou de distribuição, conforme determ</w:t>
      </w:r>
      <w:r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ina o § 1º do art. 13 da Lei nº 10.438, de 2002.</w:t>
      </w:r>
    </w:p>
    <w:p w:rsidR="003F0918" w:rsidRPr="00CA1015" w:rsidRDefault="003F0918" w:rsidP="009129E6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Em ambos os casos</w:t>
      </w:r>
      <w:r w:rsidR="00C93DA3">
        <w:rPr>
          <w:rFonts w:ascii="Times New Roman" w:eastAsia="Times New Roman" w:hAnsi="Times New Roman" w:cs="Times New Roman"/>
          <w:sz w:val="28"/>
          <w:szCs w:val="20"/>
          <w:lang w:eastAsia="pt-BR"/>
        </w:rPr>
        <w:t>, portanto,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o subsídio é cruzado, ou seja, arcado por outros agentes </w:t>
      </w:r>
      <w:r w:rsidR="00CB134E">
        <w:rPr>
          <w:rFonts w:ascii="Times New Roman" w:eastAsia="Times New Roman" w:hAnsi="Times New Roman" w:cs="Times New Roman"/>
          <w:sz w:val="28"/>
          <w:szCs w:val="20"/>
          <w:lang w:eastAsia="pt-BR"/>
        </w:rPr>
        <w:t>que atuam n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o setor</w:t>
      </w:r>
      <w:r w:rsidR="00CB134E">
        <w:rPr>
          <w:rFonts w:ascii="Times New Roman" w:eastAsia="Times New Roman" w:hAnsi="Times New Roman" w:cs="Times New Roman"/>
          <w:sz w:val="28"/>
          <w:szCs w:val="20"/>
          <w:lang w:eastAsia="pt-BR"/>
        </w:rPr>
        <w:t>, semelhante a uma transferência de renda entre agentes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, o que é considerado um efeito n</w:t>
      </w:r>
      <w:r w:rsidR="00C93DA3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ocivo 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da</w:t>
      </w:r>
      <w:r w:rsidR="00C93DA3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medida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.</w:t>
      </w:r>
    </w:p>
    <w:p w:rsidR="009129E6" w:rsidRPr="00CA1015" w:rsidRDefault="00D4674A" w:rsidP="009129E6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Agrava a situação o fato de que, a</w:t>
      </w:r>
      <w:r w:rsidR="003F0918">
        <w:rPr>
          <w:rFonts w:ascii="Times New Roman" w:eastAsia="Times New Roman" w:hAnsi="Times New Roman" w:cs="Times New Roman"/>
          <w:sz w:val="28"/>
          <w:szCs w:val="20"/>
          <w:lang w:eastAsia="pt-BR"/>
        </w:rPr>
        <w:t>lém de cruzado, esse subsídio provoca um</w:t>
      </w:r>
      <w:r w:rsidR="004C7972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efeito distributivo</w:t>
      </w:r>
      <w:r w:rsidR="003F0918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de </w:t>
      </w:r>
      <w:r w:rsidR="009129E6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>caráter regressivo, isto é, renda é retirada dos mais pobres em benefício dos mais ricos. No caso do subsídio da TUSD para a energia eólica, por exemplo, o § 5º do art. 26 da Lei nº 9.427, de 1996, permite que empreendimentos eólicos e de</w:t>
      </w:r>
      <w:r w:rsidR="003F0918">
        <w:rPr>
          <w:rFonts w:ascii="Times New Roman" w:eastAsia="Times New Roman" w:hAnsi="Times New Roman" w:cs="Times New Roman"/>
          <w:sz w:val="28"/>
          <w:szCs w:val="20"/>
          <w:lang w:eastAsia="pt-BR"/>
        </w:rPr>
        <w:t>mais fontes incentivadas</w:t>
      </w:r>
      <w:r w:rsidR="009129E6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listadas no § 1º do mesmo </w:t>
      </w:r>
      <w:r w:rsidR="009129E6" w:rsidRPr="003F0918">
        <w:rPr>
          <w:rFonts w:ascii="Times New Roman" w:eastAsia="Times New Roman" w:hAnsi="Times New Roman" w:cs="Times New Roman"/>
          <w:sz w:val="28"/>
          <w:szCs w:val="20"/>
          <w:lang w:eastAsia="pt-BR"/>
        </w:rPr>
        <w:t>artigo, comercializem energia elétrica diretamente, via a rede de distribuição, com consumidor ou conjunto de consumidores cuja carga seja maior ou igual a 500 kW, tipicamente pequenas indústrias, shopping centers e supermercados. Esses consumidores beneficiam-se d</w:t>
      </w:r>
      <w:r w:rsidR="003F0918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o desconto </w:t>
      </w:r>
      <w:r w:rsidR="009129E6" w:rsidRPr="003F0918">
        <w:rPr>
          <w:rFonts w:ascii="Times New Roman" w:eastAsia="Times New Roman" w:hAnsi="Times New Roman" w:cs="Times New Roman"/>
          <w:sz w:val="28"/>
          <w:szCs w:val="20"/>
          <w:lang w:eastAsia="pt-BR"/>
        </w:rPr>
        <w:t>da TUSD na tarifa que pagam. O custo do subsídio, contudo, recai, entre outros,</w:t>
      </w:r>
      <w:r w:rsidR="009129E6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 w:rsidR="001E715B">
        <w:rPr>
          <w:rFonts w:ascii="Times New Roman" w:eastAsia="Times New Roman" w:hAnsi="Times New Roman" w:cs="Times New Roman"/>
          <w:sz w:val="28"/>
          <w:szCs w:val="20"/>
          <w:lang w:eastAsia="pt-BR"/>
        </w:rPr>
        <w:t>sobre pequenos comércios e</w:t>
      </w:r>
      <w:r w:rsidR="009129E6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consumidores residenciais</w:t>
      </w:r>
      <w:r w:rsidR="00391C08">
        <w:rPr>
          <w:rFonts w:ascii="Times New Roman" w:eastAsia="Times New Roman" w:hAnsi="Times New Roman" w:cs="Times New Roman"/>
          <w:sz w:val="28"/>
          <w:szCs w:val="20"/>
          <w:lang w:eastAsia="pt-BR"/>
        </w:rPr>
        <w:t>, inclusive os</w:t>
      </w:r>
      <w:r w:rsidR="009129E6" w:rsidRPr="00CA101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de baixa renda.</w:t>
      </w:r>
    </w:p>
    <w:p w:rsidR="002773BC" w:rsidRPr="00FC7545" w:rsidRDefault="002773BC" w:rsidP="002773BC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 w:rsidRPr="00FC7545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O custo atual do desconto na TUST e na TUSD para as Fontes Incentivadas é de R$ 1,1 bilhão e pode aumentar entre R$ R$ 437,3 milhões e R$ 1,1 bilhão somente com os empreendimentos outorgados pela Aneel que ainda não entraram em operação. Se considerado o cenário do </w:t>
      </w:r>
      <w:r w:rsidR="00BB33E2">
        <w:rPr>
          <w:rFonts w:ascii="Times New Roman" w:eastAsia="Times New Roman" w:hAnsi="Times New Roman" w:cs="Times New Roman"/>
          <w:sz w:val="28"/>
          <w:szCs w:val="20"/>
          <w:lang w:eastAsia="pt-BR"/>
        </w:rPr>
        <w:t>Plano Decenal de Expansão de Energia 2023 (</w:t>
      </w:r>
      <w:r w:rsidRPr="00FC7545">
        <w:rPr>
          <w:rFonts w:ascii="Times New Roman" w:eastAsia="Times New Roman" w:hAnsi="Times New Roman" w:cs="Times New Roman"/>
          <w:sz w:val="28"/>
          <w:szCs w:val="20"/>
          <w:lang w:eastAsia="pt-BR"/>
        </w:rPr>
        <w:t>PDE 2023</w:t>
      </w:r>
      <w:r w:rsidR="00BB33E2">
        <w:rPr>
          <w:rFonts w:ascii="Times New Roman" w:eastAsia="Times New Roman" w:hAnsi="Times New Roman" w:cs="Times New Roman"/>
          <w:sz w:val="28"/>
          <w:szCs w:val="20"/>
          <w:lang w:eastAsia="pt-BR"/>
        </w:rPr>
        <w:t>)</w:t>
      </w:r>
      <w:r w:rsidRPr="00FC7545">
        <w:rPr>
          <w:rFonts w:ascii="Times New Roman" w:eastAsia="Times New Roman" w:hAnsi="Times New Roman" w:cs="Times New Roman"/>
          <w:sz w:val="28"/>
          <w:szCs w:val="20"/>
          <w:lang w:eastAsia="pt-BR"/>
        </w:rPr>
        <w:t>, o subsídio pode ter elevado de R$ 746,7 milhões a R$ 2,2 bilhões até 2023.</w:t>
      </w:r>
    </w:p>
    <w:p w:rsidR="00E77582" w:rsidRDefault="001B77AA" w:rsidP="00FC754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Desde 2011, </w:t>
      </w:r>
      <w:r w:rsidR="00E77582">
        <w:rPr>
          <w:rFonts w:ascii="Times New Roman" w:eastAsia="Times New Roman" w:hAnsi="Times New Roman" w:cs="Times New Roman"/>
          <w:sz w:val="28"/>
          <w:szCs w:val="20"/>
          <w:lang w:eastAsia="pt-BR"/>
        </w:rPr>
        <w:t>o Ministério de Minas e Energia</w:t>
      </w:r>
      <w:r w:rsidR="005C1F12">
        <w:rPr>
          <w:rStyle w:val="Refdenotaderodap"/>
          <w:rFonts w:ascii="Times New Roman" w:eastAsia="Times New Roman" w:hAnsi="Times New Roman" w:cs="Times New Roman"/>
          <w:sz w:val="28"/>
          <w:szCs w:val="20"/>
          <w:lang w:eastAsia="pt-BR"/>
        </w:rPr>
        <w:footnoteReference w:id="7"/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 w:rsidR="00FE6611">
        <w:rPr>
          <w:rFonts w:ascii="Times New Roman" w:eastAsia="Times New Roman" w:hAnsi="Times New Roman" w:cs="Times New Roman"/>
          <w:sz w:val="28"/>
          <w:szCs w:val="20"/>
          <w:lang w:eastAsia="pt-BR"/>
        </w:rPr>
        <w:t>reconhece</w:t>
      </w:r>
      <w:r w:rsidR="00FC126B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a fonte eólica</w:t>
      </w:r>
      <w:r w:rsidR="00FE661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como sendo</w:t>
      </w:r>
      <w:r w:rsidR="00FC126B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a segunda fonte em competitividade na geração de energia elétrica no Brasil, </w:t>
      </w:r>
      <w:r w:rsidR="005C1F12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atrás apenas da </w:t>
      </w:r>
      <w:r w:rsidR="00FC126B">
        <w:rPr>
          <w:rFonts w:ascii="Times New Roman" w:eastAsia="Times New Roman" w:hAnsi="Times New Roman" w:cs="Times New Roman"/>
          <w:sz w:val="28"/>
          <w:szCs w:val="20"/>
          <w:lang w:eastAsia="pt-BR"/>
        </w:rPr>
        <w:t>geração hidráulica</w:t>
      </w:r>
      <w:r w:rsidR="00FE661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, contando </w:t>
      </w:r>
      <w:r w:rsidR="00FC126B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com </w:t>
      </w:r>
      <w:r w:rsidR="00FE6611">
        <w:rPr>
          <w:rFonts w:ascii="Times New Roman" w:eastAsia="Times New Roman" w:hAnsi="Times New Roman" w:cs="Times New Roman"/>
          <w:sz w:val="28"/>
          <w:szCs w:val="20"/>
          <w:lang w:eastAsia="pt-BR"/>
        </w:rPr>
        <w:t>um</w:t>
      </w:r>
      <w:r w:rsidR="00FC126B">
        <w:rPr>
          <w:rFonts w:ascii="Times New Roman" w:eastAsia="Times New Roman" w:hAnsi="Times New Roman" w:cs="Times New Roman"/>
          <w:sz w:val="28"/>
          <w:szCs w:val="20"/>
          <w:lang w:eastAsia="pt-BR"/>
        </w:rPr>
        <w:t>a cadeia produtiva estruturada</w:t>
      </w:r>
      <w:r w:rsidR="00FE661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. Alerta que </w:t>
      </w:r>
      <w:r w:rsidR="00FC126B">
        <w:rPr>
          <w:rFonts w:ascii="Times New Roman" w:eastAsia="Times New Roman" w:hAnsi="Times New Roman" w:cs="Times New Roman"/>
          <w:sz w:val="28"/>
          <w:szCs w:val="20"/>
          <w:lang w:eastAsia="pt-BR"/>
        </w:rPr>
        <w:t>a concessão do benefício</w:t>
      </w:r>
      <w:r w:rsidR="00FE6611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objeto deste PLS</w:t>
      </w:r>
      <w:r w:rsidR="00FC126B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poderá implicar em aumento da tarifa para os consumidores de energia.</w:t>
      </w:r>
    </w:p>
    <w:p w:rsidR="00FA677E" w:rsidRDefault="008A0406" w:rsidP="00FC754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A propósito, recentemente</w:t>
      </w:r>
      <w:r w:rsidR="00FA677E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o Governo Federal procurou seguir caminho inverso ao deste projeto, ou seja, de retirar o desconto ainda vigente de 50%</w:t>
      </w:r>
      <w:r w:rsidR="003246C0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da TUSD e TUST</w:t>
      </w:r>
      <w:r w:rsidR="00FA677E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, por meio da Medida Provisória nº 641, de 2015, </w:t>
      </w:r>
      <w:r w:rsidR="00046557">
        <w:rPr>
          <w:rFonts w:ascii="Times New Roman" w:eastAsia="Times New Roman" w:hAnsi="Times New Roman" w:cs="Times New Roman"/>
          <w:sz w:val="28"/>
          <w:szCs w:val="20"/>
          <w:lang w:eastAsia="pt-BR"/>
        </w:rPr>
        <w:t>cujo relatório, que previa a extinção do desconto,</w:t>
      </w:r>
      <w:r w:rsidR="00FA677E"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mas não pro</w:t>
      </w:r>
      <w:r w:rsidR="00FA677E">
        <w:rPr>
          <w:rFonts w:ascii="Times New Roman" w:eastAsia="Times New Roman" w:hAnsi="Times New Roman" w:cs="Times New Roman"/>
          <w:sz w:val="28"/>
          <w:szCs w:val="20"/>
          <w:lang w:eastAsia="pt-BR"/>
        </w:rPr>
        <w:t>sperou.</w:t>
      </w:r>
    </w:p>
    <w:p w:rsidR="00080B4C" w:rsidRDefault="004C20EE" w:rsidP="00FC754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 xml:space="preserve">Em suma, </w:t>
      </w:r>
      <w:r w:rsidR="00394A07">
        <w:rPr>
          <w:rFonts w:ascii="Times New Roman" w:eastAsia="Times New Roman" w:hAnsi="Times New Roman" w:cs="Times New Roman"/>
          <w:sz w:val="28"/>
          <w:szCs w:val="20"/>
          <w:lang w:eastAsia="pt-BR"/>
        </w:rPr>
        <w:t>o subsídio consistente n</w:t>
      </w:r>
      <w:r>
        <w:rPr>
          <w:rFonts w:ascii="Times New Roman" w:eastAsia="Times New Roman" w:hAnsi="Times New Roman" w:cs="Times New Roman"/>
          <w:sz w:val="28"/>
          <w:szCs w:val="20"/>
          <w:lang w:eastAsia="pt-BR"/>
        </w:rPr>
        <w:t>o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desconto na TUST e na TUSD para as Fontes Incentivadas objetivou corrigir uma falha de mercado</w:t>
      </w:r>
      <w:r w:rsidR="00080B4C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, relacionada a então insipiência desta indústria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. </w:t>
      </w:r>
    </w:p>
    <w:p w:rsidR="00FC7545" w:rsidRDefault="00BB4AD0" w:rsidP="00FC754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De lá para cá</w:t>
      </w:r>
      <w:r w:rsidR="004C20EE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</w:t>
      </w:r>
      <w:r w:rsidR="004C20EE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a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competitividade alcançada pelas usinas eólicas</w:t>
      </w:r>
      <w:r w:rsidR="00B41B87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, a redução dos custos e 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a perspectiva de</w:t>
      </w:r>
      <w:r w:rsidR="00B41B87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ampliação do setor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sinalizam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que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a </w:t>
      </w:r>
      <w:r w:rsidR="009466D2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majoração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do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desconto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ao patamar de 100%</w:t>
      </w:r>
      <w:r w:rsidR="00A757D9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e mesmo sua manutenção aos atuais 50%</w:t>
      </w:r>
      <w:r w:rsidR="00A757D9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)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não é necessári</w:t>
      </w:r>
      <w:r w:rsidR="009466D2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a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para viabilizar o desenvolvimento d</w:t>
      </w:r>
      <w:r w:rsidR="008C74AC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as centrais de geração de fonte eólica</w:t>
      </w:r>
      <w:r w:rsidR="00FC7545" w:rsidRPr="00FC7545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.</w:t>
      </w:r>
    </w:p>
    <w:p w:rsidR="008A0406" w:rsidRDefault="00CA1015" w:rsidP="00CA1015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1015">
        <w:rPr>
          <w:rFonts w:ascii="Times New Roman" w:eastAsia="Calibri" w:hAnsi="Times New Roman" w:cs="Times New Roman"/>
          <w:sz w:val="28"/>
          <w:szCs w:val="28"/>
        </w:rPr>
        <w:tab/>
      </w:r>
    </w:p>
    <w:p w:rsidR="00CB62E6" w:rsidRPr="00CA1015" w:rsidRDefault="00CB62E6" w:rsidP="00CA1015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1015" w:rsidRPr="00CA1015" w:rsidRDefault="00CA1015" w:rsidP="00CA1015">
      <w:pPr>
        <w:spacing w:after="4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lang w:eastAsia="pt-BR"/>
        </w:rPr>
      </w:pPr>
      <w:r w:rsidRPr="00CA1015">
        <w:rPr>
          <w:rFonts w:ascii="Times New Roman" w:eastAsia="Times New Roman" w:hAnsi="Times New Roman" w:cs="Times New Roman"/>
          <w:b/>
          <w:bCs/>
          <w:sz w:val="28"/>
          <w:lang w:eastAsia="pt-BR"/>
        </w:rPr>
        <w:t>III – VOTO</w:t>
      </w:r>
    </w:p>
    <w:p w:rsidR="00CA1015" w:rsidRPr="00CA1015" w:rsidRDefault="00CA1015" w:rsidP="00CA1015">
      <w:pPr>
        <w:spacing w:after="360" w:line="240" w:lineRule="auto"/>
        <w:ind w:firstLine="1418"/>
        <w:jc w:val="both"/>
        <w:rPr>
          <w:rFonts w:ascii="Times New Roman" w:eastAsia="Times New Roman" w:hAnsi="Times New Roman" w:cs="Times New Roman"/>
          <w:sz w:val="28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lang w:eastAsia="pt-BR"/>
        </w:rPr>
        <w:t xml:space="preserve">Diante do exposto, voto pela </w:t>
      </w:r>
      <w:r w:rsidRPr="00CA1015">
        <w:rPr>
          <w:rFonts w:ascii="Times New Roman" w:eastAsia="Times New Roman" w:hAnsi="Times New Roman" w:cs="Times New Roman"/>
          <w:b/>
          <w:sz w:val="28"/>
          <w:lang w:eastAsia="pt-BR"/>
        </w:rPr>
        <w:t>rejeição</w:t>
      </w:r>
      <w:r w:rsidRPr="00CA1015">
        <w:rPr>
          <w:rFonts w:ascii="Times New Roman" w:eastAsia="Times New Roman" w:hAnsi="Times New Roman" w:cs="Times New Roman"/>
          <w:sz w:val="28"/>
          <w:lang w:eastAsia="pt-BR"/>
        </w:rPr>
        <w:t xml:space="preserve"> do Projeto de Lei do Senado nº </w:t>
      </w:r>
      <w:r w:rsidR="00646587">
        <w:rPr>
          <w:rFonts w:ascii="Times New Roman" w:eastAsia="Times New Roman" w:hAnsi="Times New Roman" w:cs="Times New Roman"/>
          <w:sz w:val="28"/>
          <w:lang w:eastAsia="pt-BR"/>
        </w:rPr>
        <w:t>379, de 2008</w:t>
      </w:r>
      <w:r w:rsidRPr="00CA1015">
        <w:rPr>
          <w:rFonts w:ascii="Times New Roman" w:eastAsia="Times New Roman" w:hAnsi="Times New Roman" w:cs="Times New Roman"/>
          <w:sz w:val="28"/>
          <w:lang w:eastAsia="pt-BR"/>
        </w:rPr>
        <w:t>.</w:t>
      </w:r>
    </w:p>
    <w:p w:rsidR="00CA1015" w:rsidRPr="00CA1015" w:rsidRDefault="00CA1015" w:rsidP="00CA1015">
      <w:pPr>
        <w:spacing w:before="960" w:after="720" w:line="240" w:lineRule="auto"/>
        <w:ind w:firstLine="2520"/>
        <w:jc w:val="both"/>
        <w:rPr>
          <w:rFonts w:ascii="Times New Roman" w:eastAsia="Times New Roman" w:hAnsi="Times New Roman" w:cs="Times New Roman"/>
          <w:sz w:val="28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lang w:eastAsia="pt-BR"/>
        </w:rPr>
        <w:t>Sala da Comissão,</w:t>
      </w:r>
    </w:p>
    <w:p w:rsidR="00CA1015" w:rsidRPr="00CA1015" w:rsidRDefault="00CA1015" w:rsidP="00CA1015">
      <w:pPr>
        <w:spacing w:after="960" w:line="240" w:lineRule="auto"/>
        <w:ind w:left="6240"/>
        <w:jc w:val="both"/>
        <w:rPr>
          <w:rFonts w:ascii="Times New Roman" w:eastAsia="Times New Roman" w:hAnsi="Times New Roman" w:cs="Times New Roman"/>
          <w:sz w:val="28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lang w:eastAsia="pt-BR"/>
        </w:rPr>
        <w:t>, Presidente</w:t>
      </w:r>
    </w:p>
    <w:p w:rsidR="00CA1015" w:rsidRPr="00CA1015" w:rsidRDefault="00CA1015" w:rsidP="00CA1015">
      <w:pPr>
        <w:spacing w:after="960" w:line="240" w:lineRule="auto"/>
        <w:ind w:left="6240"/>
        <w:jc w:val="both"/>
        <w:rPr>
          <w:rFonts w:ascii="Times New Roman" w:eastAsia="Times New Roman" w:hAnsi="Times New Roman" w:cs="Times New Roman"/>
          <w:sz w:val="28"/>
          <w:lang w:eastAsia="pt-BR"/>
        </w:rPr>
      </w:pPr>
      <w:r w:rsidRPr="00CA1015">
        <w:rPr>
          <w:rFonts w:ascii="Times New Roman" w:eastAsia="Times New Roman" w:hAnsi="Times New Roman" w:cs="Times New Roman"/>
          <w:sz w:val="28"/>
          <w:lang w:eastAsia="pt-BR"/>
        </w:rPr>
        <w:t>, Relator</w:t>
      </w:r>
    </w:p>
    <w:p w:rsidR="006C6773" w:rsidRDefault="006C6773" w:rsidP="00CA1015">
      <w:pPr>
        <w:spacing w:after="36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</w:p>
    <w:p w:rsidR="00CA1015" w:rsidRPr="00CA1015" w:rsidRDefault="00CA1015" w:rsidP="00CA1015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1015" w:rsidRPr="00CA1015" w:rsidRDefault="00CA1015" w:rsidP="00CA1015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4221" w:rsidRDefault="002A4221"/>
    <w:sectPr w:rsidR="002A4221" w:rsidSect="00B30D9F">
      <w:headerReference w:type="default" r:id="rId9"/>
      <w:footerReference w:type="default" r:id="rId10"/>
      <w:pgSz w:w="11906" w:h="16838"/>
      <w:pgMar w:top="1418" w:right="1134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B11" w:rsidRDefault="002C7B11" w:rsidP="00CA1015">
      <w:pPr>
        <w:spacing w:after="0" w:line="240" w:lineRule="auto"/>
      </w:pPr>
      <w:r>
        <w:separator/>
      </w:r>
    </w:p>
  </w:endnote>
  <w:endnote w:type="continuationSeparator" w:id="0">
    <w:p w:rsidR="002C7B11" w:rsidRDefault="002C7B11" w:rsidP="00CA1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C6" w:rsidRDefault="00D27911" w:rsidP="00BD59BC">
    <w:pPr>
      <w:pStyle w:val="Rodap"/>
      <w:tabs>
        <w:tab w:val="clear" w:pos="8504"/>
        <w:tab w:val="right" w:pos="9214"/>
      </w:tabs>
      <w:ind w:hanging="993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t-BR"/>
      </w:rPr>
      <w:drawing>
        <wp:inline distT="0" distB="0" distL="0" distR="0">
          <wp:extent cx="7075433" cy="160447"/>
          <wp:effectExtent l="19050" t="0" r="0" b="0"/>
          <wp:docPr id="3" name="Imagem 1" descr="cid:image002.gif@01CCE1DC.6892D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id:image002.gif@01CCE1DC.6892D6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1551" cy="1608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C44C6" w:rsidRPr="003F36B8" w:rsidRDefault="00D27911" w:rsidP="00BD59BC">
    <w:pPr>
      <w:pStyle w:val="Rodap"/>
      <w:jc w:val="center"/>
      <w:rPr>
        <w:rFonts w:cs="Arial"/>
        <w:sz w:val="18"/>
        <w:szCs w:val="18"/>
      </w:rPr>
    </w:pPr>
    <w:r w:rsidRPr="003F36B8">
      <w:rPr>
        <w:rFonts w:cs="Arial"/>
        <w:sz w:val="18"/>
        <w:szCs w:val="18"/>
      </w:rPr>
      <w:t>Senado Federal - Ala Senador Dinarte Mariz - Gabinete 04 - Brasília / DF - CEP 70.165-900</w:t>
    </w:r>
  </w:p>
  <w:p w:rsidR="000C44C6" w:rsidRPr="003F36B8" w:rsidRDefault="00D27911" w:rsidP="00BD59BC">
    <w:pPr>
      <w:pStyle w:val="Rodap"/>
      <w:jc w:val="center"/>
      <w:rPr>
        <w:rFonts w:cs="Arial"/>
        <w:sz w:val="18"/>
        <w:szCs w:val="18"/>
      </w:rPr>
    </w:pPr>
    <w:r w:rsidRPr="003F36B8">
      <w:rPr>
        <w:rFonts w:cs="Arial"/>
        <w:sz w:val="18"/>
        <w:szCs w:val="18"/>
      </w:rPr>
      <w:t>Telefone: (61) 3303-2182 – Fax: (61) 3303-2189 – E-mail: fernandobezerracoelho@senador.leg.br</w:t>
    </w:r>
  </w:p>
  <w:p w:rsidR="000C44C6" w:rsidRPr="00BD59BC" w:rsidRDefault="00093B3F" w:rsidP="00BD59B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B11" w:rsidRDefault="002C7B11" w:rsidP="00CA1015">
      <w:pPr>
        <w:spacing w:after="0" w:line="240" w:lineRule="auto"/>
      </w:pPr>
      <w:r>
        <w:separator/>
      </w:r>
    </w:p>
  </w:footnote>
  <w:footnote w:type="continuationSeparator" w:id="0">
    <w:p w:rsidR="002C7B11" w:rsidRDefault="002C7B11" w:rsidP="00CA1015">
      <w:pPr>
        <w:spacing w:after="0" w:line="240" w:lineRule="auto"/>
      </w:pPr>
      <w:r>
        <w:continuationSeparator/>
      </w:r>
    </w:p>
  </w:footnote>
  <w:footnote w:id="1">
    <w:p w:rsidR="002F7510" w:rsidRPr="002F7510" w:rsidRDefault="002F7510">
      <w:pPr>
        <w:pStyle w:val="Textodenotaderodap"/>
        <w:rPr>
          <w:rFonts w:ascii="Times New Roman" w:hAnsi="Times New Roman" w:cs="Times New Roman"/>
        </w:rPr>
      </w:pPr>
      <w:r w:rsidRPr="002F7510">
        <w:rPr>
          <w:rStyle w:val="Refdenotaderodap"/>
          <w:rFonts w:ascii="Times New Roman" w:hAnsi="Times New Roman" w:cs="Times New Roman"/>
        </w:rPr>
        <w:footnoteRef/>
      </w:r>
      <w:r w:rsidRPr="002F7510">
        <w:rPr>
          <w:rFonts w:ascii="Times New Roman" w:hAnsi="Times New Roman" w:cs="Times New Roman"/>
        </w:rPr>
        <w:t xml:space="preserve"> Fontes alternativas são fontes renováveis de baixo impacto ambiental.</w:t>
      </w:r>
    </w:p>
  </w:footnote>
  <w:footnote w:id="2">
    <w:p w:rsidR="008860CD" w:rsidRDefault="008860CD" w:rsidP="008860CD">
      <w:pPr>
        <w:pStyle w:val="Textodenotaderodap"/>
      </w:pPr>
      <w:r>
        <w:rPr>
          <w:rStyle w:val="Refdenotaderodap"/>
        </w:rPr>
        <w:footnoteRef/>
      </w:r>
      <w:r>
        <w:t xml:space="preserve"> Disponível em </w:t>
      </w:r>
      <w:hyperlink r:id="rId1" w:history="1">
        <w:r w:rsidRPr="00F201AD">
          <w:rPr>
            <w:rStyle w:val="Hyperlink"/>
          </w:rPr>
          <w:t>http://www.epe.gov.br/Documents/Energia%20Renov%C3%A1vel%20-%20Online%2016maio2016.pdf</w:t>
        </w:r>
      </w:hyperlink>
      <w:r>
        <w:t>. Acesso em 21 de junho de 2016.</w:t>
      </w:r>
    </w:p>
  </w:footnote>
  <w:footnote w:id="3">
    <w:p w:rsidR="008860CD" w:rsidRPr="00277810" w:rsidRDefault="008860CD" w:rsidP="008860CD">
      <w:pPr>
        <w:pStyle w:val="Textodenotaderodap"/>
        <w:rPr>
          <w:rFonts w:ascii="Times New Roman" w:hAnsi="Times New Roman" w:cs="Times New Roman"/>
        </w:rPr>
      </w:pPr>
      <w:r w:rsidRPr="00277810">
        <w:rPr>
          <w:rStyle w:val="Refdenotaderodap"/>
          <w:rFonts w:ascii="Times New Roman" w:hAnsi="Times New Roman" w:cs="Times New Roman"/>
        </w:rPr>
        <w:footnoteRef/>
      </w:r>
      <w:r w:rsidRPr="00277810">
        <w:rPr>
          <w:rFonts w:ascii="Times New Roman" w:hAnsi="Times New Roman" w:cs="Times New Roman"/>
        </w:rPr>
        <w:t xml:space="preserve"> Disponível em </w:t>
      </w:r>
      <w:hyperlink r:id="rId2" w:history="1">
        <w:r w:rsidRPr="00277810">
          <w:rPr>
            <w:rStyle w:val="Hyperlink"/>
            <w:rFonts w:ascii="Times New Roman" w:hAnsi="Times New Roman" w:cs="Times New Roman"/>
          </w:rPr>
          <w:t>http://www.portalabeeolica.org.br/index.php/noticias/3646-pre%C3%A7o-teto-do-leil%C3%A3o-a-3-desanima-setor-e%C3%B3lico.html</w:t>
        </w:r>
      </w:hyperlink>
      <w:r w:rsidRPr="00277810">
        <w:rPr>
          <w:rFonts w:ascii="Times New Roman" w:hAnsi="Times New Roman" w:cs="Times New Roman"/>
        </w:rPr>
        <w:t>. Acesso em 22 de junho de 2016.</w:t>
      </w:r>
    </w:p>
  </w:footnote>
  <w:footnote w:id="4">
    <w:p w:rsidR="008860CD" w:rsidRPr="00277810" w:rsidRDefault="008860CD" w:rsidP="008860CD">
      <w:pPr>
        <w:pStyle w:val="Textodenotaderodap"/>
        <w:rPr>
          <w:rFonts w:ascii="Times New Roman" w:hAnsi="Times New Roman" w:cs="Times New Roman"/>
        </w:rPr>
      </w:pPr>
      <w:r w:rsidRPr="00277810">
        <w:rPr>
          <w:rStyle w:val="Refdenotaderodap"/>
          <w:rFonts w:ascii="Times New Roman" w:hAnsi="Times New Roman" w:cs="Times New Roman"/>
        </w:rPr>
        <w:footnoteRef/>
      </w:r>
      <w:r w:rsidRPr="00277810">
        <w:rPr>
          <w:rFonts w:ascii="Times New Roman" w:hAnsi="Times New Roman" w:cs="Times New Roman"/>
        </w:rPr>
        <w:t xml:space="preserve"> Disponível em </w:t>
      </w:r>
      <w:hyperlink r:id="rId3" w:history="1">
        <w:r w:rsidRPr="00277810">
          <w:rPr>
            <w:rStyle w:val="Hyperlink"/>
            <w:rFonts w:ascii="Times New Roman" w:hAnsi="Times New Roman" w:cs="Times New Roman"/>
          </w:rPr>
          <w:t>http://exame.abril.com.br/rede-de-blogs/leis-da-oferta/2015/11/27/o-fracasso-dos-leiloes-de-transmissao-o-diagnostico/</w:t>
        </w:r>
      </w:hyperlink>
      <w:r w:rsidRPr="00277810">
        <w:rPr>
          <w:rFonts w:ascii="Times New Roman" w:hAnsi="Times New Roman" w:cs="Times New Roman"/>
        </w:rPr>
        <w:t>. Acesso em 22 de janeiro de 2016.</w:t>
      </w:r>
    </w:p>
  </w:footnote>
  <w:footnote w:id="5">
    <w:p w:rsidR="004502CE" w:rsidRPr="00B86AA7" w:rsidRDefault="004502CE" w:rsidP="004502CE">
      <w:pPr>
        <w:pStyle w:val="Textodenotaderodap"/>
        <w:rPr>
          <w:rFonts w:ascii="Times New Roman" w:hAnsi="Times New Roman" w:cs="Times New Roman"/>
        </w:rPr>
      </w:pPr>
      <w:r w:rsidRPr="00277810">
        <w:rPr>
          <w:rStyle w:val="Refdenotaderodap"/>
          <w:rFonts w:ascii="Times New Roman" w:hAnsi="Times New Roman" w:cs="Times New Roman"/>
        </w:rPr>
        <w:footnoteRef/>
      </w:r>
      <w:r w:rsidRPr="00277810">
        <w:rPr>
          <w:rFonts w:ascii="Times New Roman" w:hAnsi="Times New Roman" w:cs="Times New Roman"/>
        </w:rPr>
        <w:t xml:space="preserve"> Cálculo pessoal a partir dos dados disponíveis em </w:t>
      </w:r>
      <w:hyperlink r:id="rId4" w:history="1">
        <w:r w:rsidRPr="00B86AA7">
          <w:rPr>
            <w:rStyle w:val="Hyperlink"/>
            <w:rFonts w:ascii="Times New Roman" w:hAnsi="Times New Roman" w:cs="Times New Roman"/>
          </w:rPr>
          <w:t>http://www.aneel.gov.br/documents/654791/0/CEL_Resultado_Leiloes_Geracao_2005a2015_22-Dez-15.xlsx/89647e9d-b85c-48dd-af1a-acc27911262c</w:t>
        </w:r>
      </w:hyperlink>
      <w:r w:rsidRPr="00B86AA7">
        <w:rPr>
          <w:rFonts w:ascii="Times New Roman" w:hAnsi="Times New Roman" w:cs="Times New Roman"/>
        </w:rPr>
        <w:t>. Acesso em 22 de junho de 2016.</w:t>
      </w:r>
    </w:p>
  </w:footnote>
  <w:footnote w:id="6">
    <w:p w:rsidR="00B86AA7" w:rsidRDefault="00B86AA7">
      <w:pPr>
        <w:pStyle w:val="Textodenotaderodap"/>
      </w:pPr>
      <w:r w:rsidRPr="00B86AA7">
        <w:rPr>
          <w:rStyle w:val="Refdenotaderodap"/>
          <w:rFonts w:ascii="Times New Roman" w:hAnsi="Times New Roman" w:cs="Times New Roman"/>
        </w:rPr>
        <w:footnoteRef/>
      </w:r>
      <w:r w:rsidRPr="00B86AA7">
        <w:rPr>
          <w:rFonts w:ascii="Times New Roman" w:hAnsi="Times New Roman" w:cs="Times New Roman"/>
        </w:rPr>
        <w:t xml:space="preserve"> Exemplos de Fontes Incentivadas são a eólica, solar, biomassa, pequena central hidrelétrica (PCH) e cogeração qualificada.</w:t>
      </w:r>
    </w:p>
  </w:footnote>
  <w:footnote w:id="7">
    <w:p w:rsidR="005C1F12" w:rsidRDefault="005C1F12">
      <w:pPr>
        <w:pStyle w:val="Textodenotaderodap"/>
      </w:pPr>
      <w:r>
        <w:rPr>
          <w:rStyle w:val="Refdenotaderodap"/>
        </w:rPr>
        <w:footnoteRef/>
      </w:r>
      <w:r>
        <w:t xml:space="preserve"> Nota técnica 29/2013-DDE/SPE-MME; Nota Técnica 68/2011-DDE/SPE-MME.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C6" w:rsidRPr="00BD59BC" w:rsidRDefault="00D27911" w:rsidP="001E17DA">
    <w:pPr>
      <w:pStyle w:val="Cabealho"/>
      <w:jc w:val="center"/>
      <w:rPr>
        <w:noProof/>
        <w:position w:val="-20"/>
        <w:sz w:val="28"/>
        <w:lang w:eastAsia="pt-BR"/>
      </w:rPr>
    </w:pPr>
    <w:r w:rsidRPr="00BD59BC">
      <w:rPr>
        <w:noProof/>
        <w:position w:val="-20"/>
        <w:sz w:val="28"/>
        <w:lang w:eastAsia="pt-BR"/>
      </w:rPr>
      <w:drawing>
        <wp:inline distT="0" distB="0" distL="0" distR="0">
          <wp:extent cx="638810" cy="671830"/>
          <wp:effectExtent l="19050" t="0" r="889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" cy="6718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C44C6" w:rsidRPr="00BD59BC" w:rsidRDefault="00D27911" w:rsidP="001E17DA">
    <w:pPr>
      <w:pStyle w:val="Cabealho"/>
      <w:jc w:val="center"/>
      <w:rPr>
        <w:rFonts w:cs="Arial"/>
        <w:bCs/>
        <w:sz w:val="24"/>
      </w:rPr>
    </w:pPr>
    <w:r w:rsidRPr="00752FC2">
      <w:rPr>
        <w:rFonts w:cs="Arial"/>
        <w:b/>
        <w:bCs/>
        <w:sz w:val="24"/>
      </w:rPr>
      <w:t>SENADO FEDERAL</w:t>
    </w:r>
  </w:p>
  <w:p w:rsidR="000C44C6" w:rsidRPr="00BD59BC" w:rsidRDefault="00D27911" w:rsidP="001E17DA">
    <w:pPr>
      <w:pStyle w:val="Cabealho"/>
      <w:jc w:val="center"/>
      <w:rPr>
        <w:rFonts w:cs="Arial"/>
        <w:sz w:val="28"/>
      </w:rPr>
    </w:pPr>
    <w:r w:rsidRPr="00752FC2">
      <w:rPr>
        <w:rFonts w:cs="Arial"/>
        <w:b/>
        <w:bCs/>
        <w:sz w:val="24"/>
      </w:rPr>
      <w:t>Gabinete do Senador Fernando Bezerra Coelho</w:t>
    </w:r>
  </w:p>
  <w:p w:rsidR="000C44C6" w:rsidRDefault="00093B3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090386"/>
    <w:multiLevelType w:val="hybridMultilevel"/>
    <w:tmpl w:val="5BDEC10A"/>
    <w:lvl w:ilvl="0" w:tplc="209EB196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015"/>
    <w:rsid w:val="00035D14"/>
    <w:rsid w:val="00046557"/>
    <w:rsid w:val="000562A1"/>
    <w:rsid w:val="00080B4C"/>
    <w:rsid w:val="00093B3F"/>
    <w:rsid w:val="001B77AA"/>
    <w:rsid w:val="001E715B"/>
    <w:rsid w:val="0020234A"/>
    <w:rsid w:val="00214904"/>
    <w:rsid w:val="00217121"/>
    <w:rsid w:val="002535F1"/>
    <w:rsid w:val="00267C40"/>
    <w:rsid w:val="002773BC"/>
    <w:rsid w:val="00277810"/>
    <w:rsid w:val="002A4221"/>
    <w:rsid w:val="002A5BC6"/>
    <w:rsid w:val="002C7B11"/>
    <w:rsid w:val="002E1089"/>
    <w:rsid w:val="002F7510"/>
    <w:rsid w:val="003246C0"/>
    <w:rsid w:val="00391C08"/>
    <w:rsid w:val="00391D0A"/>
    <w:rsid w:val="00394A07"/>
    <w:rsid w:val="003C2CB6"/>
    <w:rsid w:val="003E3F7C"/>
    <w:rsid w:val="003F0918"/>
    <w:rsid w:val="003F135D"/>
    <w:rsid w:val="00400AF6"/>
    <w:rsid w:val="004502CE"/>
    <w:rsid w:val="00464FA1"/>
    <w:rsid w:val="004B4244"/>
    <w:rsid w:val="004C20EE"/>
    <w:rsid w:val="004C7972"/>
    <w:rsid w:val="004D2CF0"/>
    <w:rsid w:val="005021ED"/>
    <w:rsid w:val="005173F5"/>
    <w:rsid w:val="00546578"/>
    <w:rsid w:val="005735F1"/>
    <w:rsid w:val="005C1F12"/>
    <w:rsid w:val="00626144"/>
    <w:rsid w:val="00646587"/>
    <w:rsid w:val="006C6773"/>
    <w:rsid w:val="00764B27"/>
    <w:rsid w:val="007914FF"/>
    <w:rsid w:val="007C2C91"/>
    <w:rsid w:val="007D4115"/>
    <w:rsid w:val="0083187B"/>
    <w:rsid w:val="00832ACF"/>
    <w:rsid w:val="0088250F"/>
    <w:rsid w:val="008860CD"/>
    <w:rsid w:val="008A0406"/>
    <w:rsid w:val="008A7BEC"/>
    <w:rsid w:val="008C74AC"/>
    <w:rsid w:val="009129E6"/>
    <w:rsid w:val="009466D2"/>
    <w:rsid w:val="009913DB"/>
    <w:rsid w:val="009E289F"/>
    <w:rsid w:val="00A22AE2"/>
    <w:rsid w:val="00A757D9"/>
    <w:rsid w:val="00A843F6"/>
    <w:rsid w:val="00AA6F5E"/>
    <w:rsid w:val="00B139BC"/>
    <w:rsid w:val="00B41B87"/>
    <w:rsid w:val="00B86AA7"/>
    <w:rsid w:val="00BB25B5"/>
    <w:rsid w:val="00BB33E2"/>
    <w:rsid w:val="00BB4AD0"/>
    <w:rsid w:val="00BD3F68"/>
    <w:rsid w:val="00C13C9D"/>
    <w:rsid w:val="00C16036"/>
    <w:rsid w:val="00C5569D"/>
    <w:rsid w:val="00C93DA3"/>
    <w:rsid w:val="00CA1015"/>
    <w:rsid w:val="00CA3E66"/>
    <w:rsid w:val="00CB134E"/>
    <w:rsid w:val="00CB62E6"/>
    <w:rsid w:val="00D27911"/>
    <w:rsid w:val="00D4674A"/>
    <w:rsid w:val="00D74C1F"/>
    <w:rsid w:val="00DC0DCA"/>
    <w:rsid w:val="00DD4541"/>
    <w:rsid w:val="00DE45CA"/>
    <w:rsid w:val="00E77582"/>
    <w:rsid w:val="00E95D68"/>
    <w:rsid w:val="00EB0072"/>
    <w:rsid w:val="00EB660D"/>
    <w:rsid w:val="00F33AA8"/>
    <w:rsid w:val="00F44109"/>
    <w:rsid w:val="00F44D34"/>
    <w:rsid w:val="00F73F6B"/>
    <w:rsid w:val="00F96278"/>
    <w:rsid w:val="00FA677E"/>
    <w:rsid w:val="00FA71DB"/>
    <w:rsid w:val="00FC126B"/>
    <w:rsid w:val="00FC7545"/>
    <w:rsid w:val="00FE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609D68-F354-4569-B597-29C2E24A0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E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unhideWhenUsed/>
    <w:rsid w:val="00CA10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A1015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CA1015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CA1015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CA1015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uiPriority w:val="99"/>
    <w:rsid w:val="00CA1015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CA1015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derodap">
    <w:name w:val="footnote reference"/>
    <w:basedOn w:val="Fontepargpadro"/>
    <w:uiPriority w:val="99"/>
    <w:semiHidden/>
    <w:unhideWhenUsed/>
    <w:rsid w:val="00CA1015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A1015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D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7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xame.abril.com.br/rede-de-blogs/leis-da-oferta/2015/11/27/o-fracasso-dos-leiloes-de-transmissao-o-diagnostico/" TargetMode="External"/><Relationship Id="rId2" Type="http://schemas.openxmlformats.org/officeDocument/2006/relationships/hyperlink" Target="http://www.portalabeeolica.org.br/index.php/noticias/3646-pre%C3%A7o-teto-do-leil%C3%A3o-a-3-desanima-setor-e%C3%B3lico.html" TargetMode="External"/><Relationship Id="rId1" Type="http://schemas.openxmlformats.org/officeDocument/2006/relationships/hyperlink" Target="http://www.epe.gov.br/Documents/Energia%20Renov%C3%A1vel%20-%20Online%2016maio2016.pdf" TargetMode="External"/><Relationship Id="rId4" Type="http://schemas.openxmlformats.org/officeDocument/2006/relationships/hyperlink" Target="http://www.aneel.gov.br/documents/654791/0/CEL_Resultado_Leiloes_Geracao_2005a2015_22-Dez-15.xlsx/89647e9d-b85c-48dd-af1a-acc27911262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03473-E6AE-43E9-89FD-4C3AEEC42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1366</Words>
  <Characters>7381</Characters>
  <Application>Microsoft Office Word</Application>
  <DocSecurity>4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Pedroto de Almeida Magalhaes</dc:creator>
  <cp:keywords/>
  <dc:description/>
  <cp:lastModifiedBy>Flavia Lânia de Abreu Cabral</cp:lastModifiedBy>
  <cp:revision>2</cp:revision>
  <cp:lastPrinted>2016-06-30T13:32:00Z</cp:lastPrinted>
  <dcterms:created xsi:type="dcterms:W3CDTF">2016-07-05T15:00:00Z</dcterms:created>
  <dcterms:modified xsi:type="dcterms:W3CDTF">2016-07-05T15:00:00Z</dcterms:modified>
</cp:coreProperties>
</file>