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Default="00B2587E" w:rsidP="006F333D">
      <w:pPr>
        <w:pStyle w:val="02-TtuloPrincipal-CLG"/>
        <w:spacing w:before="240" w:after="120"/>
      </w:pPr>
      <w:r>
        <w:t xml:space="preserve">PROJETO DE LEI DE </w:t>
      </w:r>
      <w:r w:rsidRPr="00EB1D71">
        <w:rPr>
          <w:bCs w:val="0"/>
          <w:szCs w:val="32"/>
        </w:rPr>
        <w:t>CONVERSÃO</w:t>
      </w:r>
      <w:r>
        <w:t xml:space="preserve"> Nº </w:t>
      </w:r>
      <w:r w:rsidR="00520F46">
        <w:t>30</w:t>
      </w:r>
      <w:bookmarkStart w:id="0" w:name="_GoBack"/>
      <w:bookmarkEnd w:id="0"/>
      <w:r>
        <w:t>, DE 201</w:t>
      </w:r>
      <w:r w:rsidR="00DA01BB">
        <w:t>8</w:t>
      </w:r>
    </w:p>
    <w:p w:rsidR="00B2587E" w:rsidRDefault="00B2587E" w:rsidP="00B2587E">
      <w:pPr>
        <w:pStyle w:val="02-TtuloPrincipal-CLG"/>
        <w:rPr>
          <w:b w:val="0"/>
          <w:bCs w:val="0"/>
          <w:sz w:val="24"/>
          <w:szCs w:val="24"/>
        </w:rPr>
      </w:pPr>
      <w:r w:rsidRPr="00203FEB">
        <w:rPr>
          <w:b w:val="0"/>
          <w:bCs w:val="0"/>
          <w:sz w:val="24"/>
          <w:szCs w:val="24"/>
        </w:rPr>
        <w:t xml:space="preserve">(Proveniente da Medida Provisória nº </w:t>
      </w:r>
      <w:r w:rsidR="00BD7E4A">
        <w:rPr>
          <w:b w:val="0"/>
          <w:bCs w:val="0"/>
          <w:sz w:val="24"/>
          <w:szCs w:val="24"/>
        </w:rPr>
        <w:t>845</w:t>
      </w:r>
      <w:r w:rsidRPr="00203FEB">
        <w:rPr>
          <w:b w:val="0"/>
          <w:bCs w:val="0"/>
          <w:sz w:val="24"/>
          <w:szCs w:val="24"/>
        </w:rPr>
        <w:t>, de 20</w:t>
      </w:r>
      <w:r w:rsidR="00BD7E4A">
        <w:rPr>
          <w:b w:val="0"/>
          <w:bCs w:val="0"/>
          <w:sz w:val="24"/>
          <w:szCs w:val="24"/>
        </w:rPr>
        <w:t>18</w:t>
      </w:r>
      <w:r w:rsidRPr="00203FEB">
        <w:rPr>
          <w:b w:val="0"/>
          <w:bCs w:val="0"/>
          <w:sz w:val="24"/>
          <w:szCs w:val="24"/>
        </w:rPr>
        <w:t>)</w:t>
      </w:r>
    </w:p>
    <w:p w:rsidR="00BD7E4A" w:rsidRPr="001D5969" w:rsidRDefault="00BD7E4A" w:rsidP="001D03BD">
      <w:pPr>
        <w:pStyle w:val="EMENTA"/>
        <w:ind w:firstLine="0"/>
        <w:rPr>
          <w:rFonts w:ascii="Times New Roman" w:hAnsi="Times New Roman"/>
          <w:szCs w:val="24"/>
        </w:rPr>
      </w:pPr>
      <w:r w:rsidRPr="001D03BD">
        <w:rPr>
          <w:rFonts w:ascii="Times New Roman" w:hAnsi="Times New Roman"/>
          <w:szCs w:val="24"/>
        </w:rPr>
        <w:t>Institui o Fundo Nacional de Desenvolvimento Ferroviário</w:t>
      </w:r>
      <w:r w:rsidRPr="001D5969">
        <w:rPr>
          <w:rFonts w:ascii="Times New Roman" w:hAnsi="Times New Roman"/>
          <w:szCs w:val="24"/>
        </w:rPr>
        <w:t>.</w:t>
      </w:r>
    </w:p>
    <w:p w:rsidR="001D03BD" w:rsidRDefault="001D03BD" w:rsidP="00485528">
      <w:pPr>
        <w:pStyle w:val="PREMBULO"/>
        <w:rPr>
          <w:rFonts w:ascii="Times New Roman" w:hAnsi="Times New Roman"/>
          <w:szCs w:val="24"/>
        </w:rPr>
      </w:pPr>
      <w:bookmarkStart w:id="1" w:name="art1"/>
      <w:bookmarkEnd w:id="1"/>
    </w:p>
    <w:p w:rsidR="00485528" w:rsidRPr="00485528" w:rsidRDefault="00485528" w:rsidP="00485528">
      <w:pPr>
        <w:pStyle w:val="PREMBULO"/>
        <w:rPr>
          <w:rFonts w:ascii="Times New Roman" w:hAnsi="Times New Roman"/>
          <w:szCs w:val="24"/>
        </w:rPr>
      </w:pPr>
      <w:r w:rsidRPr="00485528">
        <w:rPr>
          <w:rFonts w:ascii="Times New Roman" w:hAnsi="Times New Roman"/>
          <w:szCs w:val="24"/>
        </w:rPr>
        <w:t>O Congresso nacional decreta: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Art. 1º Fica instituído o Fundo Nacional de Desenvolvimento Ferroviário - FNDF, de natureza contábil e financeira, vinculado ao Ministério dos Transportes, Portos e Aviação Civil, para destinação de recursos ao subsistema ferroviário federal.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Art. 2º Constituem recursos do FNDF: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I - dotações consignadas na lei orçamentária anual da União e seus créditos adicionais;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 xml:space="preserve">II - doações; 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III - multas decorrentes de contratos de concessão ou de arrendamento de ferrovias;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IV - outros que lhe forem atribuídos.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 xml:space="preserve">§ 1º As vinculações de receita orçamentária previstas no caput deverão vigorar pelo prazo de cinco anos, contado da data de entrada em vigor </w:t>
      </w:r>
      <w:r w:rsidR="00E948A7">
        <w:t>da</w:t>
      </w:r>
      <w:r w:rsidRPr="00485528">
        <w:t xml:space="preserve"> Medida Provisória</w:t>
      </w:r>
      <w:r w:rsidR="00E948A7">
        <w:t xml:space="preserve"> nº 845, </w:t>
      </w:r>
      <w:r w:rsidR="00701036">
        <w:t xml:space="preserve">de 20 de julho </w:t>
      </w:r>
      <w:r w:rsidR="00E948A7">
        <w:t>de 2018</w:t>
      </w:r>
      <w:r w:rsidRPr="00485528">
        <w:t>, conforme o disposto no § 4º do art. 114 da Lei nº 13.473, de 8 de agosto de 2017.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§ 2º Constituem igualmente recurso do FNDF os recursos decorrentes da outorga da subconcessão da EF-151 - Ferrovia Norte-Sul, no trecho Porto Nacional/Estado de Tocantins - Estrela D’Oeste/Estado de São Paulo, e o respectivo ágio.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lastRenderedPageBreak/>
        <w:t>Art. 3º Os recursos do FNDF serão aplicados no subsistema ferroviário federal, observados os limites de movimentação e empenho e de pagamento, e respeitados os planos de desenvolvimento logístico dos Estados em que se situam os projetos, onde houver.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§ 1º Os recursos do FNDF serão aplicados na ligação do Complexo Portuário de Vila do Conde/Estado do Pará à EF-151 - Ferrovia Norte-Sul.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§ 2º Os investimentos referentes aos recursos do FNDF terão início no Município de Barcarena-PA, para garantir a ligação ao Complexo Portuário de Vila do Conde-PA.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 xml:space="preserve">Art. 4º Ato do Poder Executivo federal regulamentará o funcionamento do FNDF. 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r w:rsidRPr="00485528">
        <w:t>Art. 5</w:t>
      </w:r>
      <w:r w:rsidRPr="00485528">
        <w:rPr>
          <w:strike/>
        </w:rPr>
        <w:t>º</w:t>
      </w:r>
      <w:r w:rsidRPr="00485528">
        <w:t xml:space="preserve"> O inciso V do art. 77 da Lei nº 10.233, de 5 de junho de 2001, passa a vigorar com a seguinte redação:</w:t>
      </w:r>
    </w:p>
    <w:p w:rsidR="00485528" w:rsidRPr="00485528" w:rsidRDefault="00485528" w:rsidP="00485528">
      <w:pPr>
        <w:spacing w:after="120" w:line="360" w:lineRule="auto"/>
        <w:ind w:left="2127"/>
        <w:jc w:val="both"/>
        <w:rPr>
          <w:i/>
        </w:rPr>
      </w:pPr>
      <w:r w:rsidRPr="00485528">
        <w:rPr>
          <w:i/>
        </w:rPr>
        <w:t>“Art. 77 ..........................................................................</w:t>
      </w:r>
    </w:p>
    <w:p w:rsidR="00485528" w:rsidRPr="00485528" w:rsidRDefault="00485528" w:rsidP="00485528">
      <w:pPr>
        <w:spacing w:after="120" w:line="360" w:lineRule="auto"/>
        <w:ind w:left="2127"/>
        <w:jc w:val="both"/>
        <w:rPr>
          <w:i/>
          <w:highlight w:val="cyan"/>
        </w:rPr>
      </w:pPr>
      <w:r w:rsidRPr="00485528">
        <w:rPr>
          <w:i/>
        </w:rPr>
        <w:t>V – o produto das arrecadações de cada Agência, decorrentes da cobrança de emolumentos e multas, excetuadas as multas decorrentes de contratos de concessão ou de arrendamento de ferrovias” (NR).</w:t>
      </w:r>
    </w:p>
    <w:p w:rsidR="00485528" w:rsidRPr="00485528" w:rsidRDefault="00485528" w:rsidP="00485528">
      <w:pPr>
        <w:spacing w:after="120" w:line="360" w:lineRule="auto"/>
        <w:ind w:firstLine="1701"/>
        <w:jc w:val="both"/>
      </w:pPr>
      <w:bookmarkStart w:id="2" w:name="art4"/>
      <w:bookmarkEnd w:id="2"/>
      <w:r w:rsidRPr="00485528">
        <w:t>Art. 6</w:t>
      </w:r>
      <w:r w:rsidRPr="00485528">
        <w:rPr>
          <w:strike/>
        </w:rPr>
        <w:t>º</w:t>
      </w:r>
      <w:r w:rsidRPr="00485528">
        <w:t> Esta Lei entra em vigor na data de sua publicação.</w:t>
      </w:r>
    </w:p>
    <w:p w:rsidR="00BD7E4A" w:rsidRPr="001D5969" w:rsidRDefault="00BD7E4A" w:rsidP="00BD7E4A">
      <w:pPr>
        <w:spacing w:after="120" w:line="360" w:lineRule="auto"/>
        <w:ind w:firstLine="1701"/>
        <w:jc w:val="both"/>
      </w:pPr>
    </w:p>
    <w:p w:rsidR="00B2587E" w:rsidRDefault="00B2587E" w:rsidP="00B2587E">
      <w:pPr>
        <w:pStyle w:val="10-Local-CLG"/>
      </w:pPr>
      <w:r>
        <w:t xml:space="preserve">Sala da Comissão, </w:t>
      </w:r>
      <w:r w:rsidR="001D5969">
        <w:t>1</w:t>
      </w:r>
      <w:r w:rsidR="00A11F6F">
        <w:t>4</w:t>
      </w:r>
      <w:r>
        <w:t xml:space="preserve"> de </w:t>
      </w:r>
      <w:r w:rsidR="001D5969">
        <w:t>novembro</w:t>
      </w:r>
      <w:r>
        <w:t xml:space="preserve"> de 20</w:t>
      </w:r>
      <w:r w:rsidR="001D5969">
        <w:t>18</w:t>
      </w:r>
      <w:r>
        <w:t>.</w:t>
      </w:r>
    </w:p>
    <w:p w:rsidR="005A324F" w:rsidRDefault="005A324F" w:rsidP="00B2587E">
      <w:pPr>
        <w:pStyle w:val="10-Local-CLG"/>
      </w:pPr>
    </w:p>
    <w:p w:rsidR="001D5969" w:rsidRDefault="001D5969" w:rsidP="001C4376">
      <w:pPr>
        <w:pStyle w:val="10-Local-CLG"/>
        <w:spacing w:before="0" w:after="0"/>
        <w:ind w:firstLine="0"/>
        <w:jc w:val="center"/>
      </w:pPr>
    </w:p>
    <w:p w:rsidR="00B2587E" w:rsidRDefault="00A34D75" w:rsidP="001C4376">
      <w:pPr>
        <w:pStyle w:val="10-Local-CLG"/>
        <w:spacing w:before="0" w:after="0"/>
        <w:ind w:firstLine="0"/>
        <w:jc w:val="center"/>
      </w:pPr>
      <w:r>
        <w:t xml:space="preserve">Senador </w:t>
      </w:r>
      <w:r w:rsidR="001D5969">
        <w:t>Flexa Ribeiro</w:t>
      </w: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Presidente da Comissão</w:t>
      </w:r>
    </w:p>
    <w:p w:rsidR="00C50CCE" w:rsidRDefault="00520F46"/>
    <w:sectPr w:rsidR="00C50CCE" w:rsidSect="006F333D">
      <w:footerReference w:type="default" r:id="rId6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CC347A">
        <w:pPr>
          <w:pStyle w:val="Rodap"/>
          <w:jc w:val="right"/>
        </w:pPr>
        <w:r>
          <w:fldChar w:fldCharType="begin"/>
        </w:r>
        <w:r w:rsidR="006F333D">
          <w:instrText>PAGE   \* MERGEFORMAT</w:instrText>
        </w:r>
        <w:r>
          <w:fldChar w:fldCharType="separate"/>
        </w:r>
        <w:r w:rsidR="00520F46">
          <w:rPr>
            <w:noProof/>
          </w:rPr>
          <w:t>1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587E"/>
    <w:rsid w:val="0000021F"/>
    <w:rsid w:val="000D0813"/>
    <w:rsid w:val="001C4376"/>
    <w:rsid w:val="001D03BD"/>
    <w:rsid w:val="001D5969"/>
    <w:rsid w:val="00433CA4"/>
    <w:rsid w:val="00485528"/>
    <w:rsid w:val="00520F46"/>
    <w:rsid w:val="005A324F"/>
    <w:rsid w:val="00671CA6"/>
    <w:rsid w:val="006F333D"/>
    <w:rsid w:val="00701036"/>
    <w:rsid w:val="00702B10"/>
    <w:rsid w:val="0076160F"/>
    <w:rsid w:val="00A11F6F"/>
    <w:rsid w:val="00A34D75"/>
    <w:rsid w:val="00B2587E"/>
    <w:rsid w:val="00BD7E4A"/>
    <w:rsid w:val="00C01B98"/>
    <w:rsid w:val="00CB7AB1"/>
    <w:rsid w:val="00CC347A"/>
    <w:rsid w:val="00DA01BB"/>
    <w:rsid w:val="00E9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7F7D67-1F0B-4B42-8315-BA28F4CC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next w:val="Normal"/>
    <w:qFormat/>
    <w:rsid w:val="00BD7E4A"/>
    <w:pPr>
      <w:widowControl w:val="0"/>
      <w:spacing w:before="720" w:after="480"/>
      <w:ind w:left="3686" w:firstLine="567"/>
      <w:jc w:val="both"/>
    </w:pPr>
    <w:rPr>
      <w:rFonts w:ascii="Arial" w:hAnsi="Arial"/>
      <w:snapToGrid w:val="0"/>
      <w:color w:val="000000"/>
      <w:szCs w:val="20"/>
    </w:rPr>
  </w:style>
  <w:style w:type="paragraph" w:customStyle="1" w:styleId="EPGRAFEnomedaproposio">
    <w:name w:val="EPÍGRAFE (nome da proposição)"/>
    <w:basedOn w:val="Normal"/>
    <w:qFormat/>
    <w:rsid w:val="00BD7E4A"/>
    <w:pPr>
      <w:spacing w:before="720" w:after="120"/>
      <w:contextualSpacing/>
      <w:jc w:val="center"/>
    </w:pPr>
    <w:rPr>
      <w:rFonts w:ascii="Arial" w:eastAsiaTheme="majorEastAsia" w:hAnsi="Arial" w:cstheme="majorBidi"/>
      <w:b/>
      <w:caps/>
      <w:spacing w:val="-10"/>
      <w:kern w:val="28"/>
      <w:sz w:val="28"/>
      <w:szCs w:val="28"/>
    </w:rPr>
  </w:style>
  <w:style w:type="paragraph" w:customStyle="1" w:styleId="LOCALDATADOCUMENTO">
    <w:name w:val="LOCAL/DATA DOCUMENTO"/>
    <w:basedOn w:val="Normal"/>
    <w:next w:val="Normal"/>
    <w:qFormat/>
    <w:rsid w:val="00BD7E4A"/>
    <w:pPr>
      <w:spacing w:before="720" w:after="720" w:line="360" w:lineRule="auto"/>
      <w:jc w:val="center"/>
    </w:pPr>
    <w:rPr>
      <w:rFonts w:ascii="Arial" w:hAnsi="Arial"/>
      <w:snapToGrid w:val="0"/>
      <w:color w:val="000000"/>
      <w:szCs w:val="20"/>
    </w:rPr>
  </w:style>
  <w:style w:type="paragraph" w:customStyle="1" w:styleId="PREMBULO">
    <w:name w:val="PREÂMBULO"/>
    <w:basedOn w:val="Normal"/>
    <w:next w:val="Normal"/>
    <w:qFormat/>
    <w:rsid w:val="00BD7E4A"/>
    <w:pPr>
      <w:spacing w:before="720" w:after="360" w:line="360" w:lineRule="auto"/>
      <w:ind w:firstLine="1701"/>
      <w:jc w:val="both"/>
    </w:pPr>
    <w:rPr>
      <w:rFonts w:ascii="Arial" w:hAnsi="Arial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369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Paula de Araújo Pinto Teixeira</cp:lastModifiedBy>
  <cp:revision>22</cp:revision>
  <cp:lastPrinted>2018-11-14T13:48:00Z</cp:lastPrinted>
  <dcterms:created xsi:type="dcterms:W3CDTF">2016-06-07T18:12:00Z</dcterms:created>
  <dcterms:modified xsi:type="dcterms:W3CDTF">2018-11-14T14:06:00Z</dcterms:modified>
</cp:coreProperties>
</file>