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7CC" w:rsidRPr="00E0153A" w:rsidRDefault="00E837CC" w:rsidP="00E55FCF">
      <w:pPr>
        <w:pStyle w:val="02-TtuloPrincipal-CLG"/>
        <w:spacing w:after="560"/>
        <w:jc w:val="both"/>
      </w:pPr>
      <w:r w:rsidRPr="00E0153A">
        <w:t>PARECER DO RELATOR DA COMISSÃO MISTA DESTINADA A APRECIAR A MEDIDA PROVISÓRIA Nº 6</w:t>
      </w:r>
      <w:r w:rsidR="00E653CC">
        <w:t>9</w:t>
      </w:r>
      <w:r w:rsidR="008A509C">
        <w:t>5</w:t>
      </w:r>
      <w:r w:rsidRPr="00E0153A">
        <w:t xml:space="preserve">, DE </w:t>
      </w:r>
      <w:r w:rsidR="00E653CC">
        <w:t>2 DE OUTUBRO DE 2015</w:t>
      </w:r>
    </w:p>
    <w:p w:rsidR="00E837CC" w:rsidRPr="00E0153A" w:rsidRDefault="00E837CC" w:rsidP="00E837CC">
      <w:pPr>
        <w:pStyle w:val="02-TtuloPrincipal-CLG"/>
        <w:jc w:val="both"/>
      </w:pPr>
    </w:p>
    <w:p w:rsidR="00E837CC" w:rsidRDefault="000E3E77" w:rsidP="00E837CC">
      <w:pPr>
        <w:pStyle w:val="02-TtuloPrincipal-CLG"/>
      </w:pPr>
      <w:r w:rsidRPr="00E0153A">
        <w:t>MEDIDA PROVISÓRIA Nº 6</w:t>
      </w:r>
      <w:r>
        <w:t>9</w:t>
      </w:r>
      <w:r w:rsidR="008A509C">
        <w:t>5</w:t>
      </w:r>
      <w:r w:rsidRPr="00E0153A">
        <w:t xml:space="preserve">, DE </w:t>
      </w:r>
      <w:r>
        <w:t>2 DE OUTUBRO DE 2015</w:t>
      </w:r>
    </w:p>
    <w:p w:rsidR="000E3E77" w:rsidRDefault="008A509C" w:rsidP="008A509C">
      <w:pPr>
        <w:pStyle w:val="04-Relatoria-CLG"/>
        <w:spacing w:after="640"/>
        <w:ind w:left="3540"/>
        <w:jc w:val="both"/>
      </w:pPr>
      <w:r>
        <w:t>Autoriza o Banco do Brasil S.A. e a Caixa Econômica Federal a adquirirem participação nos termos e condições previstos no art. 2º da Lei nº 11.908, de 3 de março de 2009, e dá outras providências.</w:t>
      </w:r>
    </w:p>
    <w:p w:rsidR="000E3E77" w:rsidRPr="00A324F9" w:rsidRDefault="000E3E77" w:rsidP="008A509C">
      <w:pPr>
        <w:pStyle w:val="04-Relatoria-CLG"/>
      </w:pPr>
      <w:r w:rsidRPr="00A324F9">
        <w:t xml:space="preserve">RELATOR: </w:t>
      </w:r>
      <w:r w:rsidR="008A509C">
        <w:t xml:space="preserve">Deputado </w:t>
      </w:r>
      <w:r w:rsidR="00580D34">
        <w:rPr>
          <w:b/>
        </w:rPr>
        <w:t>BETO FARO</w:t>
      </w:r>
    </w:p>
    <w:p w:rsidR="00E837CC" w:rsidRPr="00137E59" w:rsidRDefault="00E837CC" w:rsidP="00E55FCF">
      <w:pPr>
        <w:pStyle w:val="04-Relatoria-CLG"/>
        <w:spacing w:after="840"/>
        <w:ind w:left="0"/>
        <w:jc w:val="center"/>
        <w:rPr>
          <w:b/>
          <w:sz w:val="40"/>
          <w:szCs w:val="32"/>
        </w:rPr>
      </w:pPr>
      <w:r w:rsidRPr="00137E59">
        <w:rPr>
          <w:b/>
          <w:sz w:val="40"/>
          <w:szCs w:val="32"/>
        </w:rPr>
        <w:lastRenderedPageBreak/>
        <w:t>ERRATA</w:t>
      </w:r>
    </w:p>
    <w:p w:rsidR="00E837CC" w:rsidRDefault="00707C53" w:rsidP="00E837CC">
      <w:pPr>
        <w:pStyle w:val="04-PargrafodetextoEstudoNotas-CLG"/>
        <w:spacing w:after="240" w:line="240" w:lineRule="auto"/>
      </w:pPr>
      <w:r>
        <w:t>No dia</w:t>
      </w:r>
      <w:r w:rsidR="00E837CC" w:rsidRPr="00E0153A">
        <w:t xml:space="preserve"> </w:t>
      </w:r>
      <w:r w:rsidR="000E3E77">
        <w:t>25 de novembro de 2015</w:t>
      </w:r>
      <w:r w:rsidR="00E837CC" w:rsidRPr="00E0153A">
        <w:t xml:space="preserve">, </w:t>
      </w:r>
      <w:r>
        <w:t>foi apresentado</w:t>
      </w:r>
      <w:r w:rsidR="00E837CC" w:rsidRPr="00E0153A">
        <w:t xml:space="preserve"> a esta</w:t>
      </w:r>
      <w:r>
        <w:t xml:space="preserve"> </w:t>
      </w:r>
      <w:r w:rsidR="000E3E77">
        <w:t>Douta Comi</w:t>
      </w:r>
      <w:r w:rsidR="00E837CC" w:rsidRPr="00E0153A">
        <w:t>ssão Mista parecer fav</w:t>
      </w:r>
      <w:r w:rsidR="000E3E77">
        <w:t>orável à Medida Provisória nº 69</w:t>
      </w:r>
      <w:r w:rsidR="008A509C">
        <w:t>5</w:t>
      </w:r>
      <w:r w:rsidR="00E837CC" w:rsidRPr="00E0153A">
        <w:t xml:space="preserve">, de </w:t>
      </w:r>
      <w:r w:rsidR="000E3E77">
        <w:t>2 de outubro de 2015,</w:t>
      </w:r>
      <w:r w:rsidR="00E837CC" w:rsidRPr="00E0153A">
        <w:t xml:space="preserve"> </w:t>
      </w:r>
      <w:r>
        <w:t>cujos termos</w:t>
      </w:r>
      <w:r w:rsidR="002148BE">
        <w:t xml:space="preserve"> submetemos</w:t>
      </w:r>
      <w:r w:rsidR="00E837CC" w:rsidRPr="00E0153A">
        <w:t xml:space="preserve"> à consideração dos seus membros.</w:t>
      </w:r>
    </w:p>
    <w:p w:rsidR="008A509C" w:rsidRDefault="00F644D0" w:rsidP="00E837CC">
      <w:pPr>
        <w:pStyle w:val="04-PargrafodetextoEstudoNotas-CLG"/>
        <w:spacing w:after="240" w:line="240" w:lineRule="auto"/>
      </w:pPr>
      <w:r>
        <w:t>Concluí</w:t>
      </w:r>
      <w:r w:rsidR="008A509C">
        <w:t>amos, naquela ocasião, no mérito, pela aprovação da Medida Provisória nº 695, de 2015, na forma como proposta pelo Poder Executivo, e pela rejeição das vinte e seis emendas a ela apresentadas.</w:t>
      </w:r>
    </w:p>
    <w:p w:rsidR="008A509C" w:rsidRDefault="000E3E77" w:rsidP="00E837CC">
      <w:pPr>
        <w:pStyle w:val="04-PargrafodetextoEstudoNotas-CLG"/>
        <w:spacing w:after="240" w:line="240" w:lineRule="auto"/>
      </w:pPr>
      <w:r>
        <w:t xml:space="preserve">Contudo, desde </w:t>
      </w:r>
      <w:r w:rsidR="008A509C">
        <w:t>então</w:t>
      </w:r>
      <w:r>
        <w:t>, em diálogo com o Poder Executivo</w:t>
      </w:r>
      <w:r w:rsidR="008A509C">
        <w:t xml:space="preserve"> e com os Nobres Pares membros do Congresso Nacional, reexaminamos </w:t>
      </w:r>
      <w:r>
        <w:t xml:space="preserve">algumas das questões </w:t>
      </w:r>
      <w:r w:rsidR="008A509C">
        <w:t>que nos foram apresentadas</w:t>
      </w:r>
      <w:r>
        <w:t xml:space="preserve">, </w:t>
      </w:r>
      <w:r w:rsidR="008A509C">
        <w:t xml:space="preserve">e </w:t>
      </w:r>
      <w:r>
        <w:t xml:space="preserve">verificamos ser necessário promover </w:t>
      </w:r>
      <w:r w:rsidR="008A509C">
        <w:t xml:space="preserve">ajustes ao Parecer, na forma da presente Errata, concluindo, assim, em face do que estabelece a Resolução nº 1-CN, de 2002, pela apresentação de um </w:t>
      </w:r>
      <w:r w:rsidR="00E837CC" w:rsidRPr="00E0153A">
        <w:t>p</w:t>
      </w:r>
      <w:r w:rsidR="00707C53">
        <w:t>rojeto de lei de conversão</w:t>
      </w:r>
      <w:r w:rsidR="008A509C">
        <w:t>, que ora submetemos aos membros desta Comissão.</w:t>
      </w:r>
    </w:p>
    <w:p w:rsidR="00EE4767" w:rsidRPr="0032605C" w:rsidRDefault="00707C53" w:rsidP="008A509C">
      <w:pPr>
        <w:pStyle w:val="04-PargrafodetextoEstudoNotas-CLG"/>
        <w:spacing w:after="240" w:line="240" w:lineRule="auto"/>
      </w:pPr>
      <w:r>
        <w:t xml:space="preserve"> </w:t>
      </w:r>
      <w:r w:rsidR="00EE4767" w:rsidRPr="0032605C">
        <w:t xml:space="preserve">Trata-se, precisamente, de </w:t>
      </w:r>
      <w:r w:rsidR="00F644D0">
        <w:t xml:space="preserve">três </w:t>
      </w:r>
      <w:r w:rsidR="00EE4767" w:rsidRPr="0032605C">
        <w:t>questões que requerem tais ajustes:</w:t>
      </w:r>
    </w:p>
    <w:p w:rsidR="00A63B1E" w:rsidRPr="00F644D0" w:rsidRDefault="00EE4767" w:rsidP="00EE4767">
      <w:pPr>
        <w:pStyle w:val="05-Pargrafodetexto-CLG"/>
        <w:numPr>
          <w:ilvl w:val="0"/>
          <w:numId w:val="6"/>
        </w:numPr>
        <w:spacing w:after="240"/>
      </w:pPr>
      <w:r w:rsidRPr="00F644D0">
        <w:lastRenderedPageBreak/>
        <w:t xml:space="preserve">No tocante </w:t>
      </w:r>
      <w:r w:rsidR="0032605C" w:rsidRPr="00F644D0">
        <w:t xml:space="preserve">à redação proposta ao </w:t>
      </w:r>
      <w:r w:rsidRPr="00F644D0">
        <w:t xml:space="preserve">art. </w:t>
      </w:r>
      <w:r w:rsidR="00A63B1E" w:rsidRPr="00F644D0">
        <w:t>1º:</w:t>
      </w:r>
    </w:p>
    <w:p w:rsidR="00A63B1E" w:rsidRDefault="00A63B1E" w:rsidP="0032605C">
      <w:pPr>
        <w:pStyle w:val="05-Pargrafodetexto-CLG"/>
        <w:spacing w:after="240"/>
        <w:ind w:left="1778" w:firstLine="0"/>
      </w:pPr>
      <w:r w:rsidRPr="00A63B1E">
        <w:t xml:space="preserve">A redação </w:t>
      </w:r>
      <w:r>
        <w:t>dada ao art. 1º pela Medida Provisória contempla, objetivamente, a hipótese de que o Banco do Brasil S.A. e a Caixa Econômica Federal, diretamente ou por intermédio de suas subsidiárias, possam adquirir participação nos termos e condiçõe</w:t>
      </w:r>
      <w:r w:rsidR="00F644D0">
        <w:t>s previstos no art. 2º da Lei nº</w:t>
      </w:r>
      <w:r>
        <w:t xml:space="preserve"> 11.908, de 3 de março de 2009</w:t>
      </w:r>
      <w:r w:rsidR="00F644D0">
        <w:t>, até 31 de dezembro de 2018</w:t>
      </w:r>
      <w:r>
        <w:t xml:space="preserve">. </w:t>
      </w:r>
    </w:p>
    <w:p w:rsidR="00F644D0" w:rsidRDefault="00A63B1E" w:rsidP="0032605C">
      <w:pPr>
        <w:pStyle w:val="05-Pargrafodetexto-CLG"/>
        <w:spacing w:after="240"/>
        <w:ind w:left="1778" w:firstLine="0"/>
      </w:pPr>
      <w:r>
        <w:t xml:space="preserve">A essa previsão, contudo,  mostra-se necessário agregar, em consonância com o que já prevê o art. 1º da Lei nº 11908, a possibilidade de que, além de adquirirem participações em empresas, nos termos e condições previstas naquela Lei, as </w:t>
      </w:r>
      <w:r w:rsidR="00F644D0">
        <w:t xml:space="preserve">suas </w:t>
      </w:r>
      <w:r>
        <w:t>subsidiárias possam, assim como a controladora, igualmente constituir subsidiárias integrais ou controladas, visto serem essas subs</w:t>
      </w:r>
      <w:r w:rsidR="00041678">
        <w:t>i</w:t>
      </w:r>
      <w:r>
        <w:t xml:space="preserve">diárias, igualmente, empresas estatais, para todos os fins. </w:t>
      </w:r>
    </w:p>
    <w:p w:rsidR="00F644D0" w:rsidRDefault="00A63B1E" w:rsidP="0032605C">
      <w:pPr>
        <w:pStyle w:val="05-Pargrafodetexto-CLG"/>
        <w:spacing w:after="240"/>
        <w:ind w:left="1778" w:firstLine="0"/>
      </w:pPr>
      <w:r>
        <w:t xml:space="preserve">A autorização limitada apenas ao Banco do Brasil ou à CEF, como controladoras “holding”, apenas teria como efeito elevar o número de subsidiárias a elas diretamente vinculadas, sem impedir, na prática, a criação de novas sociedades, controladas ou não. </w:t>
      </w:r>
    </w:p>
    <w:p w:rsidR="007424CC" w:rsidRDefault="00A63B1E" w:rsidP="0032605C">
      <w:pPr>
        <w:pStyle w:val="05-Pargrafodetexto-CLG"/>
        <w:spacing w:after="240"/>
        <w:ind w:left="1778" w:firstLine="0"/>
      </w:pPr>
      <w:r>
        <w:t>Além disso, mostra-se necessário, para evitar conflitos interpretativos, explicitar a possiblidade que subsidiárias ou empresas controladas no ramo de tecnologia da informação – que é parte, acessórias, mas igualmente estratégica de sua atuação – possam ser constituídas</w:t>
      </w:r>
      <w:r w:rsidR="007424CC">
        <w:t xml:space="preserve">. </w:t>
      </w:r>
    </w:p>
    <w:p w:rsidR="00E00630" w:rsidRDefault="004C4ECD" w:rsidP="004C4ECD">
      <w:pPr>
        <w:pStyle w:val="05-Pargrafodetexto-CLG"/>
        <w:spacing w:after="240"/>
        <w:ind w:left="1778" w:firstLine="0"/>
      </w:pPr>
      <w:r>
        <w:t xml:space="preserve">A fim de elidir-se quaisquer dúvidas quanto à lisura das operações a serem realizadas, acatamos a </w:t>
      </w:r>
      <w:r w:rsidR="00674B4F">
        <w:t>E</w:t>
      </w:r>
      <w:r>
        <w:t>menda nº 17,</w:t>
      </w:r>
      <w:r w:rsidR="00AD15A8">
        <w:t xml:space="preserve"> na forma de novo § 3º,</w:t>
      </w:r>
      <w:r>
        <w:t xml:space="preserve"> com adequação redacional, a fim de prever-se que </w:t>
      </w:r>
      <w:r w:rsidRPr="00AD15A8">
        <w:t xml:space="preserve">o BB e A CEF deverão exigir nas operações de aquisição de participação cláusula prevendo a </w:t>
      </w:r>
      <w:r w:rsidR="00E00630" w:rsidRPr="00E00630">
        <w:rPr>
          <w:b/>
          <w:u w:val="single"/>
        </w:rPr>
        <w:t>nulidade ou</w:t>
      </w:r>
      <w:r w:rsidR="00E00630">
        <w:t xml:space="preserve"> </w:t>
      </w:r>
      <w:r w:rsidRPr="00AD15A8">
        <w:rPr>
          <w:b/>
          <w:u w:val="single"/>
        </w:rPr>
        <w:t>anulabilidade</w:t>
      </w:r>
      <w:r w:rsidRPr="00AD15A8">
        <w:t xml:space="preserve"> do negócio uma vez verificada a ocorrência de irregularidade pré-existente. Trata-se de situação já prevista no Código Civil, como hipótese tanto de nulidade quanto de anulabilidade, a depender o motivo que lhe der causa. </w:t>
      </w:r>
    </w:p>
    <w:p w:rsidR="00E00630" w:rsidRDefault="00E00630" w:rsidP="00E00630">
      <w:pPr>
        <w:pStyle w:val="05-Pargrafodetexto-CLG"/>
        <w:spacing w:after="240"/>
        <w:ind w:left="1778" w:firstLine="0"/>
      </w:pPr>
      <w:r>
        <w:t>Nos termos do art. 166 do Código Civl, são nulos os negócios jurídicos quando:</w:t>
      </w:r>
    </w:p>
    <w:p w:rsidR="00E00630" w:rsidRPr="00E00630" w:rsidRDefault="00E00630" w:rsidP="00E00630">
      <w:pPr>
        <w:pStyle w:val="05-Pargrafodetexto-CLG"/>
        <w:spacing w:after="240"/>
        <w:ind w:left="1778" w:firstLine="0"/>
      </w:pPr>
      <w:r w:rsidRPr="00E00630">
        <w:t>I — celebrado por pessoa absolutamente incapaz;</w:t>
      </w:r>
    </w:p>
    <w:p w:rsidR="00E00630" w:rsidRPr="00E00630" w:rsidRDefault="00E00630" w:rsidP="00E00630">
      <w:pPr>
        <w:pStyle w:val="05-Pargrafodetexto-CLG"/>
        <w:spacing w:after="240"/>
        <w:ind w:left="1778" w:firstLine="0"/>
      </w:pPr>
      <w:r w:rsidRPr="00E00630">
        <w:t>II — for ilícito, impossível ou indeterminável o seu objeto;</w:t>
      </w:r>
    </w:p>
    <w:p w:rsidR="00E00630" w:rsidRPr="00E00630" w:rsidRDefault="00E00630" w:rsidP="00E00630">
      <w:pPr>
        <w:pStyle w:val="05-Pargrafodetexto-CLG"/>
        <w:spacing w:after="240"/>
        <w:ind w:left="1778" w:firstLine="0"/>
      </w:pPr>
      <w:r w:rsidRPr="00E00630">
        <w:t>III — o motivo determinante, comum a ambas as partes, for ilícito;</w:t>
      </w:r>
    </w:p>
    <w:p w:rsidR="00E00630" w:rsidRPr="00E00630" w:rsidRDefault="00E00630" w:rsidP="00E00630">
      <w:pPr>
        <w:pStyle w:val="05-Pargrafodetexto-CLG"/>
        <w:spacing w:after="240"/>
        <w:ind w:left="1778" w:firstLine="0"/>
      </w:pPr>
      <w:r w:rsidRPr="00E00630">
        <w:t>IV — não revestir a forma prescrita em lei;</w:t>
      </w:r>
    </w:p>
    <w:p w:rsidR="00E00630" w:rsidRPr="00E00630" w:rsidRDefault="00E00630" w:rsidP="00E00630">
      <w:pPr>
        <w:pStyle w:val="05-Pargrafodetexto-CLG"/>
        <w:spacing w:after="240"/>
        <w:ind w:left="1778" w:firstLine="0"/>
      </w:pPr>
      <w:r w:rsidRPr="00E00630">
        <w:t>V — for preterida alguma solenidade que a lei considere essencial para a sua validade;</w:t>
      </w:r>
    </w:p>
    <w:p w:rsidR="00E00630" w:rsidRPr="00E00630" w:rsidRDefault="00E00630" w:rsidP="00E00630">
      <w:pPr>
        <w:pStyle w:val="05-Pargrafodetexto-CLG"/>
        <w:spacing w:after="240"/>
        <w:ind w:left="1778" w:firstLine="0"/>
      </w:pPr>
      <w:r w:rsidRPr="00E00630">
        <w:t>VI — tiver por objetivo fraudar lei imperativa;</w:t>
      </w:r>
    </w:p>
    <w:p w:rsidR="00E00630" w:rsidRPr="00E00630" w:rsidRDefault="00E00630" w:rsidP="00E00630">
      <w:pPr>
        <w:pStyle w:val="05-Pargrafodetexto-CLG"/>
        <w:spacing w:after="240"/>
        <w:ind w:left="1778" w:firstLine="0"/>
      </w:pPr>
      <w:r w:rsidRPr="00E00630">
        <w:t>VIl — a lei taxativamente o declarar nulo, o proibir-lhe a prática, sem cominar sanção.</w:t>
      </w:r>
    </w:p>
    <w:p w:rsidR="00E00630" w:rsidRPr="00E00630" w:rsidRDefault="00E00630" w:rsidP="004C4ECD">
      <w:pPr>
        <w:pStyle w:val="05-Pargrafodetexto-CLG"/>
        <w:spacing w:after="240"/>
        <w:ind w:left="1778" w:firstLine="0"/>
      </w:pPr>
      <w:r>
        <w:t xml:space="preserve">Também é nulo, nos termos do art. 167 do Código Civil, </w:t>
      </w:r>
      <w:r w:rsidRPr="00E00630">
        <w:t>o negócio jurídico simulado, mas subsistirá o que se dissimulou, se válido for na substância e toda forma. Os casos de simulação, segundo mesmo artigo, incluem os que contiverem declaração, confissão, condição ou cláusula não verdadeira.</w:t>
      </w:r>
    </w:p>
    <w:p w:rsidR="00E00630" w:rsidRDefault="00E00630" w:rsidP="004C4ECD">
      <w:pPr>
        <w:pStyle w:val="05-Pargrafodetexto-CLG"/>
        <w:spacing w:after="240"/>
        <w:ind w:left="1778" w:firstLine="0"/>
      </w:pPr>
      <w:r>
        <w:t>Já as hipóteses de anulabilidade são as seguintes, previstas no art. 171 do Código:</w:t>
      </w:r>
    </w:p>
    <w:p w:rsidR="00E00630" w:rsidRPr="00E00630" w:rsidRDefault="00E00630" w:rsidP="00E00630">
      <w:pPr>
        <w:pStyle w:val="05-Pargrafodetexto-CLG"/>
        <w:spacing w:after="240"/>
        <w:ind w:left="1778" w:firstLine="0"/>
      </w:pPr>
      <w:r w:rsidRPr="00E00630">
        <w:t>I - por incapacidade relativa do agente;</w:t>
      </w:r>
    </w:p>
    <w:p w:rsidR="00E00630" w:rsidRPr="00E00630" w:rsidRDefault="00E00630" w:rsidP="00E00630">
      <w:pPr>
        <w:pStyle w:val="05-Pargrafodetexto-CLG"/>
        <w:spacing w:after="240"/>
        <w:ind w:left="1778" w:firstLine="0"/>
      </w:pPr>
      <w:r w:rsidRPr="00E00630">
        <w:t>II - por vício resultante de erro, dolo, coação, estado de perigo, lesão ou fraude contra credores.</w:t>
      </w:r>
    </w:p>
    <w:p w:rsidR="004C4ECD" w:rsidRPr="004C4ECD" w:rsidRDefault="004C4ECD" w:rsidP="004C4ECD">
      <w:pPr>
        <w:pStyle w:val="05-Pargrafodetexto-CLG"/>
        <w:spacing w:after="240"/>
        <w:ind w:left="1778" w:firstLine="0"/>
        <w:rPr>
          <w:b/>
          <w:sz w:val="26"/>
          <w:szCs w:val="26"/>
        </w:rPr>
      </w:pPr>
      <w:r w:rsidRPr="00AD15A8">
        <w:t>Assim, em lugar da declaração direta de nulidade</w:t>
      </w:r>
      <w:r w:rsidR="00E00630">
        <w:t>, que seria a única alternativa dada pela Emenda nº 17</w:t>
      </w:r>
      <w:r w:rsidRPr="00AD15A8">
        <w:t xml:space="preserve">, reconhecemos a previsão de sua </w:t>
      </w:r>
      <w:r w:rsidR="00E00630">
        <w:t xml:space="preserve">nulidade, nos casos já mencionados, ou </w:t>
      </w:r>
      <w:r w:rsidRPr="00AD15A8">
        <w:t xml:space="preserve">anulabilidade, em caso de </w:t>
      </w:r>
      <w:r w:rsidR="00AD15A8" w:rsidRPr="00AD15A8">
        <w:t xml:space="preserve">ser a irregularidade não previamente verificada decorrente de </w:t>
      </w:r>
      <w:r w:rsidRPr="00AD15A8">
        <w:t>dolo</w:t>
      </w:r>
      <w:r w:rsidR="00E00630">
        <w:t xml:space="preserve">, </w:t>
      </w:r>
      <w:r w:rsidRPr="00AD15A8">
        <w:t>erro</w:t>
      </w:r>
      <w:r w:rsidR="00E00630">
        <w:t xml:space="preserve"> ou fraude contra credores, entre outras hipóteses</w:t>
      </w:r>
      <w:r w:rsidRPr="00AD15A8">
        <w:t>.</w:t>
      </w:r>
    </w:p>
    <w:p w:rsidR="007424CC" w:rsidRDefault="00EE4767" w:rsidP="0032605C">
      <w:pPr>
        <w:pStyle w:val="05-Pargrafodetexto-CLG"/>
        <w:spacing w:after="240"/>
        <w:ind w:left="1778" w:firstLine="0"/>
      </w:pPr>
      <w:r>
        <w:t xml:space="preserve">Assim, </w:t>
      </w:r>
      <w:r w:rsidR="007424CC">
        <w:t>propomos a seguinte redação ao art. 1º:</w:t>
      </w:r>
    </w:p>
    <w:p w:rsidR="00AD15A8" w:rsidRDefault="00AD15A8" w:rsidP="00AD15A8">
      <w:pPr>
        <w:pStyle w:val="05-Pargrafodetexto-CLG"/>
        <w:spacing w:after="240"/>
        <w:ind w:left="1778" w:firstLine="0"/>
      </w:pPr>
      <w:r w:rsidRPr="009D66FE">
        <w:t xml:space="preserve">Art. </w:t>
      </w:r>
      <w:r>
        <w:t xml:space="preserve">1º O Banco do Brasil S.A. e a Caixa Econômica Federal, diretamente ou por intermédio de suas subsidiárias, poderão </w:t>
      </w:r>
      <w:r w:rsidRPr="00D91799">
        <w:rPr>
          <w:b/>
        </w:rPr>
        <w:t>constituir ou</w:t>
      </w:r>
      <w:r>
        <w:t xml:space="preserve"> adquirir participação em empresas, </w:t>
      </w:r>
      <w:r w:rsidRPr="004C4ECD">
        <w:rPr>
          <w:b/>
        </w:rPr>
        <w:t xml:space="preserve">inclusive no ramo de tecnologia da informação, </w:t>
      </w:r>
      <w:r>
        <w:t xml:space="preserve">nos termos e condições previstos no art. 2º da Lei no 11.908, de 3 de março de 2009. </w:t>
      </w:r>
    </w:p>
    <w:p w:rsidR="00AD15A8" w:rsidRDefault="00AD15A8" w:rsidP="00AD15A8">
      <w:pPr>
        <w:pStyle w:val="05-Pargrafodetexto-CLG"/>
        <w:spacing w:after="240"/>
        <w:ind w:left="1778" w:firstLine="0"/>
      </w:pPr>
      <w:r>
        <w:t>§ 1º A autorização prevista no caput é válida até 31 de dezembro de 2018.</w:t>
      </w:r>
    </w:p>
    <w:p w:rsidR="00860A2F" w:rsidRPr="00D91799" w:rsidRDefault="00860A2F" w:rsidP="00860A2F">
      <w:pPr>
        <w:pStyle w:val="05-Pargrafodetexto-CLG"/>
        <w:spacing w:after="240"/>
        <w:ind w:left="1778" w:firstLine="0"/>
        <w:rPr>
          <w:b/>
          <w:szCs w:val="28"/>
        </w:rPr>
      </w:pPr>
      <w:r w:rsidRPr="00D91799">
        <w:rPr>
          <w:b/>
          <w:szCs w:val="28"/>
        </w:rPr>
        <w:t xml:space="preserve">§ </w:t>
      </w:r>
      <w:r w:rsidR="004F21B6" w:rsidRPr="00D91799">
        <w:rPr>
          <w:b/>
          <w:szCs w:val="28"/>
        </w:rPr>
        <w:t>2</w:t>
      </w:r>
      <w:r w:rsidRPr="00D91799">
        <w:rPr>
          <w:b/>
          <w:szCs w:val="28"/>
        </w:rPr>
        <w:t xml:space="preserve">º As instituições referidas no caput deverão exigir nas operações de aquisição de participação cláusula prevendo </w:t>
      </w:r>
      <w:r w:rsidRPr="00D91799">
        <w:rPr>
          <w:b/>
          <w:szCs w:val="28"/>
          <w:u w:val="single"/>
        </w:rPr>
        <w:t xml:space="preserve">a </w:t>
      </w:r>
      <w:r w:rsidR="00E00630" w:rsidRPr="00D91799">
        <w:rPr>
          <w:b/>
          <w:szCs w:val="28"/>
          <w:u w:val="single"/>
        </w:rPr>
        <w:t xml:space="preserve">nulidade ou </w:t>
      </w:r>
      <w:r w:rsidRPr="00D91799">
        <w:rPr>
          <w:b/>
          <w:szCs w:val="28"/>
          <w:u w:val="single"/>
        </w:rPr>
        <w:t>anulabilidade</w:t>
      </w:r>
      <w:r w:rsidRPr="00D91799">
        <w:rPr>
          <w:b/>
          <w:szCs w:val="28"/>
        </w:rPr>
        <w:t xml:space="preserve"> do negócio uma vez verificada a ocorrência de irregularidade pré-existente.</w:t>
      </w:r>
    </w:p>
    <w:p w:rsidR="00F644D0" w:rsidRDefault="007424CC" w:rsidP="007424CC">
      <w:pPr>
        <w:pStyle w:val="05-Pargrafodetexto-CLG"/>
        <w:numPr>
          <w:ilvl w:val="0"/>
          <w:numId w:val="6"/>
        </w:numPr>
        <w:spacing w:after="240"/>
      </w:pPr>
      <w:r w:rsidRPr="00160282">
        <w:t xml:space="preserve">No que se refere à Lei nº 13.155, de 5 de agosto de 2015, que é objeto de alteração por meio da redação do art. 2º, entendemos ser de igual relevância e urgência, estando presente a pertinência temática, que seja desde logo adequado o prazo previsto no art. 9º daquela Lei. </w:t>
      </w:r>
    </w:p>
    <w:p w:rsidR="00F644D0" w:rsidRDefault="007424CC" w:rsidP="00F644D0">
      <w:pPr>
        <w:pStyle w:val="05-Pargrafodetexto-CLG"/>
        <w:spacing w:after="240"/>
        <w:ind w:left="1778" w:firstLine="0"/>
      </w:pPr>
      <w:r w:rsidRPr="00160282">
        <w:t xml:space="preserve">Segundo o referido art. 9º, o prazo para que </w:t>
      </w:r>
      <w:r w:rsidR="00F644D0">
        <w:t>a</w:t>
      </w:r>
      <w:r w:rsidRPr="00160282">
        <w:t xml:space="preserve">s entidades desportivas profissionais de futebol que aderirem ao Profut </w:t>
      </w:r>
      <w:r w:rsidR="00160282" w:rsidRPr="00160282">
        <w:t xml:space="preserve">requeiram o parcelamento de seus débitos com a </w:t>
      </w:r>
      <w:r w:rsidRPr="00160282">
        <w:t xml:space="preserve">Secretaria da Receita Federal do Brasil do Ministério da Fazenda, </w:t>
      </w:r>
      <w:r w:rsidR="00160282" w:rsidRPr="00160282">
        <w:t>a</w:t>
      </w:r>
      <w:r w:rsidRPr="00160282">
        <w:t xml:space="preserve"> Procuradoria-Geral da Fazenda Nacional e o Banco Central do Brasil, e </w:t>
      </w:r>
      <w:r w:rsidR="00160282" w:rsidRPr="00160282">
        <w:t xml:space="preserve">ainda com o </w:t>
      </w:r>
      <w:r w:rsidRPr="00160282">
        <w:t>Ministério do Trabalho e Emprego</w:t>
      </w:r>
      <w:r w:rsidR="00160282" w:rsidRPr="00160282">
        <w:t>, encerrou-se no último dia útil do terceiro mês subsequente ao da sua publicação, ou seja, no dia 30 de novembro de 2015.</w:t>
      </w:r>
    </w:p>
    <w:p w:rsidR="00F644D0" w:rsidRDefault="00160282" w:rsidP="00F644D0">
      <w:pPr>
        <w:pStyle w:val="05-Pargrafodetexto-CLG"/>
        <w:spacing w:after="240"/>
        <w:ind w:left="1778" w:firstLine="0"/>
      </w:pPr>
      <w:r w:rsidRPr="00160282">
        <w:t xml:space="preserve">Contudo, diversas entidades, por razões diversas, não lograram atender ao prazo, de forma que, para que possam ser beneficiados pelo referido parcelamento, torna-se mister reabri-lo, a fim de que os objetivos da Lei nº 13.155, de 2015, sejam alcançados. </w:t>
      </w:r>
    </w:p>
    <w:p w:rsidR="00160282" w:rsidRPr="00160282" w:rsidRDefault="00160282" w:rsidP="00F644D0">
      <w:pPr>
        <w:pStyle w:val="05-Pargrafodetexto-CLG"/>
        <w:spacing w:after="240"/>
        <w:ind w:left="1778" w:firstLine="0"/>
      </w:pPr>
      <w:r w:rsidRPr="00160282">
        <w:t>Assim, propomos a inclusão no PLV do seguinte artigo 3º:</w:t>
      </w:r>
    </w:p>
    <w:p w:rsidR="00160282" w:rsidRDefault="00160282" w:rsidP="00160282">
      <w:pPr>
        <w:pStyle w:val="05-Pargrafodetexto-CLG"/>
        <w:spacing w:after="240"/>
        <w:ind w:left="1778" w:firstLine="0"/>
        <w:rPr>
          <w:b/>
        </w:rPr>
      </w:pPr>
      <w:r>
        <w:rPr>
          <w:b/>
        </w:rPr>
        <w:t>“Art. 3º. O prazo previsto no art. 9º da Lei nº 13.155, de 5 de agosto de 2015, fica reaberto, a partir da data da publicação desta Lei, até 31 de julho de 2016.”</w:t>
      </w:r>
    </w:p>
    <w:p w:rsidR="00F644D0" w:rsidRDefault="00160282" w:rsidP="00B93379">
      <w:pPr>
        <w:pStyle w:val="05-Pargrafodetexto-CLG"/>
        <w:numPr>
          <w:ilvl w:val="0"/>
          <w:numId w:val="6"/>
        </w:numPr>
        <w:spacing w:after="240"/>
      </w:pPr>
      <w:r w:rsidRPr="00160282">
        <w:t xml:space="preserve">Finalmente, também em consonância com o desiderato original da Medida Provisória de dar melhores condições para que as entidades esportivas do futebol possam superar a crise em que se encontram, aderindo ao PROFUT, mas reconhecendo que a Lei, ao entrar em vigor, deve propiciar tempo hábil para o cumprimento de seus requisitos, consideramos que a exigência de cumprimento das cláusulas de regularidade fiscal e saldamento de dívidas, estabelecidas como “critérios técnicos” para que as entidades possam participar de competições, devam ser aplicados e exigidos apenas a partir das competições que tiverem início a partir de 1º de março de 2016. </w:t>
      </w:r>
    </w:p>
    <w:p w:rsidR="00F644D0" w:rsidRDefault="00160282" w:rsidP="00F644D0">
      <w:pPr>
        <w:pStyle w:val="05-Pargrafodetexto-CLG"/>
        <w:spacing w:after="240"/>
        <w:ind w:left="1778" w:firstLine="0"/>
      </w:pPr>
      <w:r>
        <w:t xml:space="preserve">Visto que a as dificuldades para a conclusão do processo de renegociação de dívidas podem acarretar a necessidade de prazos maiores do que os previstos originalmente pelo legislador, </w:t>
      </w:r>
      <w:r w:rsidR="005C49D7">
        <w:t xml:space="preserve">como já demonstrado, é igualmente importante que as entidades não sejam imediatamente impedidas de participar de competições, o que somente agravaria a sua situação. </w:t>
      </w:r>
    </w:p>
    <w:p w:rsidR="00160282" w:rsidRDefault="005C49D7" w:rsidP="00F644D0">
      <w:pPr>
        <w:pStyle w:val="05-Pargrafodetexto-CLG"/>
        <w:spacing w:after="240"/>
        <w:ind w:left="1778" w:firstLine="0"/>
      </w:pPr>
      <w:r>
        <w:t>Assim, presentes a urgência e relevância e a pertinência temática, propomos a inclusão do seguinte art. 4º:</w:t>
      </w:r>
    </w:p>
    <w:p w:rsidR="005C49D7" w:rsidRPr="004F21B6" w:rsidRDefault="005C49D7" w:rsidP="005C49D7">
      <w:pPr>
        <w:pStyle w:val="05-Pargrafodetexto-CLG"/>
        <w:spacing w:after="240"/>
        <w:ind w:left="1778" w:firstLine="0"/>
        <w:rPr>
          <w:b/>
        </w:rPr>
      </w:pPr>
      <w:r w:rsidRPr="004F21B6">
        <w:rPr>
          <w:b/>
        </w:rPr>
        <w:t xml:space="preserve">“Art. 4º. O disposto no inciso II do § 1º e no art. 3º do art. 10 da lei nº 10.671, de 15 de maio de 2003, com a redação dada pelo art. 40 da Lei nº </w:t>
      </w:r>
      <w:proofErr w:type="gramStart"/>
      <w:r w:rsidRPr="004F21B6">
        <w:rPr>
          <w:b/>
        </w:rPr>
        <w:t>13.155 ,</w:t>
      </w:r>
      <w:proofErr w:type="gramEnd"/>
      <w:r w:rsidRPr="004F21B6">
        <w:rPr>
          <w:b/>
        </w:rPr>
        <w:t xml:space="preserve"> de 2015, será exigível nas competições que tiverem início a partir de 1º de </w:t>
      </w:r>
      <w:r w:rsidR="00C3453B">
        <w:rPr>
          <w:b/>
        </w:rPr>
        <w:t>agosto</w:t>
      </w:r>
      <w:r w:rsidRPr="004F21B6">
        <w:rPr>
          <w:b/>
        </w:rPr>
        <w:t xml:space="preserve"> de 2016.”</w:t>
      </w:r>
    </w:p>
    <w:p w:rsidR="00F54B4C" w:rsidRPr="00F54B4C" w:rsidRDefault="00F54B4C" w:rsidP="00F54B4C">
      <w:pPr>
        <w:pStyle w:val="05-Pargrafodetexto-CLG"/>
        <w:spacing w:after="240"/>
        <w:ind w:left="1418" w:firstLine="0"/>
      </w:pPr>
      <w:r>
        <w:rPr>
          <w:b/>
        </w:rPr>
        <w:t>A</w:t>
      </w:r>
      <w:r w:rsidR="000E3E77">
        <w:rPr>
          <w:b/>
        </w:rPr>
        <w:t>ssim</w:t>
      </w:r>
    </w:p>
    <w:p w:rsidR="005C49D7" w:rsidRDefault="00F54B4C" w:rsidP="00F54B4C">
      <w:pPr>
        <w:pStyle w:val="05-Pargrafodetexto-CLG"/>
        <w:spacing w:after="240"/>
        <w:ind w:left="1418" w:firstLine="0"/>
        <w:rPr>
          <w:b/>
        </w:rPr>
      </w:pPr>
      <w:r w:rsidRPr="004035C4">
        <w:rPr>
          <w:b/>
        </w:rPr>
        <w:t xml:space="preserve">I </w:t>
      </w:r>
      <w:r w:rsidR="005C49D7">
        <w:rPr>
          <w:b/>
        </w:rPr>
        <w:t>–</w:t>
      </w:r>
      <w:r w:rsidRPr="004035C4">
        <w:rPr>
          <w:b/>
        </w:rPr>
        <w:t xml:space="preserve"> </w:t>
      </w:r>
      <w:r w:rsidR="000E3E77" w:rsidRPr="004035C4">
        <w:rPr>
          <w:b/>
        </w:rPr>
        <w:t>n</w:t>
      </w:r>
      <w:r w:rsidR="005C49D7">
        <w:rPr>
          <w:b/>
        </w:rPr>
        <w:t>a CONCLUSÃO</w:t>
      </w:r>
      <w:r w:rsidR="00E837CC" w:rsidRPr="004035C4">
        <w:rPr>
          <w:b/>
        </w:rPr>
        <w:t xml:space="preserve">, </w:t>
      </w:r>
      <w:r w:rsidR="005C49D7">
        <w:rPr>
          <w:b/>
        </w:rPr>
        <w:t>altere-se o seguinte parágrafo, na forma a seguir:</w:t>
      </w:r>
    </w:p>
    <w:p w:rsidR="005C49D7" w:rsidRDefault="005C49D7" w:rsidP="00F54B4C">
      <w:pPr>
        <w:pStyle w:val="05-Pargrafodetexto-CLG"/>
        <w:spacing w:after="240"/>
        <w:ind w:left="1418" w:firstLine="0"/>
        <w:rPr>
          <w:b/>
        </w:rPr>
      </w:pPr>
      <w:r>
        <w:rPr>
          <w:b/>
        </w:rPr>
        <w:t>De:</w:t>
      </w:r>
    </w:p>
    <w:p w:rsidR="005C49D7" w:rsidRPr="00F644D0" w:rsidRDefault="005C49D7" w:rsidP="00F54B4C">
      <w:pPr>
        <w:pStyle w:val="05-Pargrafodetexto-CLG"/>
        <w:spacing w:after="240"/>
        <w:ind w:left="1418" w:firstLine="0"/>
      </w:pPr>
      <w:r w:rsidRPr="00F644D0">
        <w:t>“Por isso, entendemos que a Medida Provisória em apreço deva ser aprovada, como originalmente proposta pela Excelentíssima Senhora Presidenta da República,”</w:t>
      </w:r>
    </w:p>
    <w:p w:rsidR="00750CCA" w:rsidRDefault="005C49D7" w:rsidP="00F54B4C">
      <w:pPr>
        <w:pStyle w:val="05-Pargrafodetexto-CLG"/>
        <w:spacing w:after="240"/>
        <w:ind w:left="1418" w:firstLine="0"/>
        <w:rPr>
          <w:b/>
        </w:rPr>
      </w:pPr>
      <w:r>
        <w:rPr>
          <w:b/>
        </w:rPr>
        <w:t xml:space="preserve">Para: </w:t>
      </w:r>
    </w:p>
    <w:p w:rsidR="005C49D7" w:rsidRPr="00F644D0" w:rsidRDefault="005C49D7" w:rsidP="005C49D7">
      <w:pPr>
        <w:pStyle w:val="05-Pargrafodetexto-CLG"/>
        <w:spacing w:after="240"/>
        <w:ind w:left="1418" w:firstLine="0"/>
      </w:pPr>
      <w:r w:rsidRPr="00F644D0">
        <w:t>“Por isso, ressalvados os ajustes promovidos na forma do Projeto de Lei de Conversão, entendemos que a Medida Provisória em apreço deva ser aprovada, como proposta pela Excelentíssima Senhora Presidenta da República,”</w:t>
      </w:r>
    </w:p>
    <w:p w:rsidR="005C49D7" w:rsidRDefault="005C49D7" w:rsidP="00F54B4C">
      <w:pPr>
        <w:pStyle w:val="05-Pargrafodetexto-CLG"/>
        <w:spacing w:after="240"/>
        <w:ind w:left="1418" w:firstLine="0"/>
        <w:rPr>
          <w:b/>
        </w:rPr>
      </w:pPr>
      <w:r>
        <w:rPr>
          <w:b/>
        </w:rPr>
        <w:t>II – no VOTO</w:t>
      </w:r>
      <w:r w:rsidR="00F644D0">
        <w:rPr>
          <w:b/>
        </w:rPr>
        <w:t xml:space="preserve">, </w:t>
      </w:r>
      <w:r>
        <w:rPr>
          <w:b/>
        </w:rPr>
        <w:t>altere-se o item VIII, na forma a seguir”</w:t>
      </w:r>
    </w:p>
    <w:p w:rsidR="005C49D7" w:rsidRPr="00F644D0" w:rsidRDefault="005C49D7" w:rsidP="00F54B4C">
      <w:pPr>
        <w:pStyle w:val="05-Pargrafodetexto-CLG"/>
        <w:spacing w:after="240"/>
        <w:ind w:left="1418" w:firstLine="0"/>
      </w:pPr>
      <w:r w:rsidRPr="00F644D0">
        <w:t>“VIII – no mérito, pela aprovação da Medida Provisória nº 695, de 2015, na forma do Projeto de Lei de Conversão, e pela rejeição das emendas a ela apresentadas</w:t>
      </w:r>
      <w:r w:rsidR="00AD15A8">
        <w:t xml:space="preserve">, </w:t>
      </w:r>
      <w:r w:rsidR="00E00630">
        <w:rPr>
          <w:b/>
          <w:u w:val="single"/>
        </w:rPr>
        <w:t>excetuada a Emenda</w:t>
      </w:r>
      <w:r w:rsidR="00AD15A8" w:rsidRPr="00AD15A8">
        <w:rPr>
          <w:b/>
          <w:u w:val="single"/>
        </w:rPr>
        <w:t xml:space="preserve"> nº </w:t>
      </w:r>
      <w:r w:rsidR="004F21B6">
        <w:rPr>
          <w:b/>
          <w:u w:val="single"/>
        </w:rPr>
        <w:t xml:space="preserve"> </w:t>
      </w:r>
      <w:r w:rsidR="00AD15A8" w:rsidRPr="00AD15A8">
        <w:rPr>
          <w:b/>
          <w:u w:val="single"/>
        </w:rPr>
        <w:t>17.</w:t>
      </w:r>
      <w:r w:rsidRPr="00F644D0">
        <w:t>”</w:t>
      </w:r>
    </w:p>
    <w:p w:rsidR="00DD378D" w:rsidRPr="005C49D7" w:rsidRDefault="005C49D7" w:rsidP="005C49D7">
      <w:pPr>
        <w:pStyle w:val="05-Pargrafodetexto-CLG"/>
        <w:spacing w:after="240"/>
        <w:ind w:left="1418" w:firstLine="0"/>
        <w:rPr>
          <w:b/>
        </w:rPr>
      </w:pPr>
      <w:r w:rsidRPr="005C49D7">
        <w:rPr>
          <w:b/>
        </w:rPr>
        <w:t xml:space="preserve">III – inclua-se, no Parecer, o seguinte Projeto </w:t>
      </w:r>
      <w:r>
        <w:rPr>
          <w:b/>
        </w:rPr>
        <w:t>de Lei de Co</w:t>
      </w:r>
      <w:r w:rsidRPr="005C49D7">
        <w:rPr>
          <w:b/>
        </w:rPr>
        <w:t>n</w:t>
      </w:r>
      <w:r>
        <w:rPr>
          <w:b/>
        </w:rPr>
        <w:t>v</w:t>
      </w:r>
      <w:r w:rsidRPr="005C49D7">
        <w:rPr>
          <w:b/>
        </w:rPr>
        <w:t>ersão</w:t>
      </w:r>
      <w:r w:rsidR="00F644D0">
        <w:rPr>
          <w:b/>
        </w:rPr>
        <w:t>:</w:t>
      </w:r>
    </w:p>
    <w:p w:rsidR="00F644D0" w:rsidRDefault="00F644D0" w:rsidP="00DD378D">
      <w:pPr>
        <w:spacing w:after="0"/>
        <w:jc w:val="center"/>
        <w:rPr>
          <w:rFonts w:ascii="Times New Roman" w:hAnsi="Times New Roman"/>
          <w:b/>
          <w:sz w:val="32"/>
        </w:rPr>
      </w:pPr>
    </w:p>
    <w:p w:rsidR="00DD378D" w:rsidRPr="00DD378D" w:rsidRDefault="00DD378D" w:rsidP="00DD378D">
      <w:pPr>
        <w:spacing w:after="0"/>
        <w:jc w:val="center"/>
        <w:rPr>
          <w:rFonts w:ascii="Times New Roman" w:hAnsi="Times New Roman"/>
          <w:b/>
          <w:sz w:val="32"/>
        </w:rPr>
      </w:pPr>
      <w:r w:rsidRPr="00DD378D">
        <w:rPr>
          <w:rFonts w:ascii="Times New Roman" w:hAnsi="Times New Roman"/>
          <w:b/>
          <w:sz w:val="32"/>
        </w:rPr>
        <w:t>PROJETO DE LEI DE CONVERSÃO</w:t>
      </w:r>
    </w:p>
    <w:p w:rsidR="00DD378D" w:rsidRPr="00DD378D" w:rsidRDefault="00DD378D" w:rsidP="00DD378D">
      <w:pPr>
        <w:tabs>
          <w:tab w:val="left" w:pos="0"/>
        </w:tabs>
        <w:jc w:val="center"/>
        <w:rPr>
          <w:rFonts w:ascii="Times New Roman" w:hAnsi="Times New Roman"/>
          <w:b/>
          <w:sz w:val="32"/>
        </w:rPr>
      </w:pPr>
      <w:r w:rsidRPr="00DD378D">
        <w:rPr>
          <w:rFonts w:ascii="Times New Roman" w:hAnsi="Times New Roman"/>
          <w:b/>
          <w:sz w:val="32"/>
        </w:rPr>
        <w:t>(à Medida Provisória nº 69</w:t>
      </w:r>
      <w:r w:rsidR="005C49D7">
        <w:rPr>
          <w:rFonts w:ascii="Times New Roman" w:hAnsi="Times New Roman"/>
          <w:b/>
          <w:sz w:val="32"/>
        </w:rPr>
        <w:t>5</w:t>
      </w:r>
      <w:r w:rsidRPr="00DD378D">
        <w:rPr>
          <w:rFonts w:ascii="Times New Roman" w:hAnsi="Times New Roman"/>
          <w:b/>
          <w:sz w:val="32"/>
        </w:rPr>
        <w:t>, de 2015)</w:t>
      </w:r>
    </w:p>
    <w:p w:rsidR="00DD378D" w:rsidRPr="00DD378D" w:rsidRDefault="00DD378D" w:rsidP="00DD378D">
      <w:pPr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hAnsi="Times New Roman"/>
          <w:sz w:val="32"/>
        </w:rPr>
      </w:pPr>
    </w:p>
    <w:p w:rsidR="00DD378D" w:rsidRPr="00F644D0" w:rsidRDefault="005C49D7" w:rsidP="00F644D0">
      <w:pPr>
        <w:tabs>
          <w:tab w:val="left" w:pos="0"/>
        </w:tabs>
        <w:ind w:left="3540"/>
        <w:jc w:val="both"/>
        <w:rPr>
          <w:rFonts w:ascii="Times New Roman" w:hAnsi="Times New Roman"/>
          <w:sz w:val="28"/>
        </w:rPr>
      </w:pPr>
      <w:r w:rsidRPr="00F644D0">
        <w:rPr>
          <w:rFonts w:ascii="Times New Roman" w:hAnsi="Times New Roman"/>
          <w:sz w:val="28"/>
        </w:rPr>
        <w:t xml:space="preserve">Autoriza o Banco do Brasil S.A. e a Caixa Econômica Federal a </w:t>
      </w:r>
      <w:r w:rsidR="00F644D0" w:rsidRPr="00F644D0">
        <w:rPr>
          <w:rFonts w:ascii="Times New Roman" w:hAnsi="Times New Roman"/>
          <w:sz w:val="28"/>
        </w:rPr>
        <w:t xml:space="preserve">constituírem subsidiárias e </w:t>
      </w:r>
      <w:r w:rsidRPr="00F644D0">
        <w:rPr>
          <w:rFonts w:ascii="Times New Roman" w:hAnsi="Times New Roman"/>
          <w:sz w:val="28"/>
        </w:rPr>
        <w:t xml:space="preserve">adquirirem participação nos termos e condições previstos no art. 2º da Lei no 11.908, de 3 de março de 2009, </w:t>
      </w:r>
      <w:r w:rsidR="00F644D0" w:rsidRPr="00F644D0">
        <w:rPr>
          <w:rFonts w:ascii="Times New Roman" w:hAnsi="Times New Roman"/>
          <w:sz w:val="28"/>
        </w:rPr>
        <w:t xml:space="preserve">reabre o prazo previsto no art. 9º da Lei nº 13.155, de 5 de agosto de 2015, altera a data da exigibilidade do disposto no inciso II do § 1º e no art. 3º do art. 10 da lei nº 10.671, de 15 de maio de 2003, com a redação dada pelo art. 40 da Lei nº 13.155, de 2015, e </w:t>
      </w:r>
      <w:r w:rsidRPr="00F644D0">
        <w:rPr>
          <w:rFonts w:ascii="Times New Roman" w:hAnsi="Times New Roman"/>
          <w:sz w:val="28"/>
        </w:rPr>
        <w:t>dá outras providências</w:t>
      </w:r>
      <w:r w:rsidR="00F644D0" w:rsidRPr="00F644D0">
        <w:rPr>
          <w:rFonts w:ascii="Times New Roman" w:hAnsi="Times New Roman"/>
          <w:sz w:val="28"/>
        </w:rPr>
        <w:t>.</w:t>
      </w:r>
    </w:p>
    <w:p w:rsidR="00F644D0" w:rsidRPr="00DD378D" w:rsidRDefault="00F644D0" w:rsidP="00F644D0">
      <w:pPr>
        <w:tabs>
          <w:tab w:val="left" w:pos="0"/>
        </w:tabs>
        <w:ind w:left="3540"/>
        <w:jc w:val="both"/>
        <w:rPr>
          <w:rFonts w:ascii="Times New Roman" w:hAnsi="Times New Roman"/>
          <w:sz w:val="24"/>
        </w:rPr>
      </w:pPr>
    </w:p>
    <w:p w:rsidR="00DD378D" w:rsidRPr="00DD378D" w:rsidRDefault="00F644D0" w:rsidP="00DD378D">
      <w:pPr>
        <w:tabs>
          <w:tab w:val="left" w:pos="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="00DD378D" w:rsidRPr="00DD378D">
        <w:rPr>
          <w:rFonts w:ascii="Times New Roman" w:hAnsi="Times New Roman"/>
          <w:sz w:val="24"/>
        </w:rPr>
        <w:tab/>
        <w:t>O CONGRESSO NACIONAL DECRETA</w:t>
      </w:r>
    </w:p>
    <w:p w:rsidR="00F644D0" w:rsidRDefault="00F644D0" w:rsidP="00F644D0">
      <w:pPr>
        <w:pStyle w:val="05-Pargrafodetexto-CLG"/>
        <w:spacing w:after="240"/>
      </w:pPr>
      <w:bookmarkStart w:id="0" w:name="anexoxv."/>
      <w:bookmarkEnd w:id="0"/>
      <w:r w:rsidRPr="009D66FE">
        <w:t xml:space="preserve">Art. </w:t>
      </w:r>
      <w:r>
        <w:t xml:space="preserve">1º O Banco do Brasil S.A. e a Caixa Econômica Federal, diretamente ou por intermédio de suas subsidiárias, poderão constituir ou adquirir participação em empresas, </w:t>
      </w:r>
      <w:r w:rsidRPr="004F21B6">
        <w:t xml:space="preserve">inclusive no ramo de tecnologia da informação, </w:t>
      </w:r>
      <w:r>
        <w:t xml:space="preserve">nos termos e condições previstos no art. 2º da Lei no 11.908, de 3 de março de 2009. </w:t>
      </w:r>
    </w:p>
    <w:p w:rsidR="00F644D0" w:rsidRDefault="00F644D0" w:rsidP="00F644D0">
      <w:pPr>
        <w:pStyle w:val="05-Pargrafodetexto-CLG"/>
        <w:spacing w:after="240"/>
      </w:pPr>
      <w:r>
        <w:t>§ 1º A autorização prevista no caput é válida até 31 de dezembro de 2018.</w:t>
      </w:r>
    </w:p>
    <w:p w:rsidR="00E00630" w:rsidRPr="00E00630" w:rsidRDefault="00E00630" w:rsidP="00E00630">
      <w:pPr>
        <w:pStyle w:val="05-Pargrafodetexto-CLG"/>
        <w:spacing w:after="240"/>
      </w:pPr>
      <w:r w:rsidRPr="00E00630">
        <w:t>§ 2º As instituições referidas no caput deverão exigir nas operações de aquisição de participação cláusula prevendo a nulidade ou anulabilidade do negócio uma vez verificada a ocorrência de irregularidade pré-existente.</w:t>
      </w:r>
    </w:p>
    <w:p w:rsidR="00F644D0" w:rsidRDefault="00F644D0" w:rsidP="00F644D0">
      <w:pPr>
        <w:pStyle w:val="05-Pargrafodetexto-CLG"/>
        <w:spacing w:after="240"/>
      </w:pPr>
      <w:r>
        <w:t xml:space="preserve">Art. 2º A Loteria Instantânea Exclusiva - Lotex, de que trata o art. 28 da Lei no 13.155, de 4 de agosto de 2015, poderá adicionalmente contar com temas complementares aos mencionados no caput do referido artigo, de maneira a permitir a exploração mercadológica de eventos de grande apelo popular, datas comemorativas, referências culturais, licenciamentos de marcas ou personagens e demais elementos gráficos e visuais que possam aumentar a atratividade comercial do produto. </w:t>
      </w:r>
    </w:p>
    <w:p w:rsidR="00F644D0" w:rsidRPr="00F644D0" w:rsidRDefault="00F644D0" w:rsidP="00F644D0">
      <w:pPr>
        <w:pStyle w:val="05-Pargrafodetexto-CLG"/>
        <w:spacing w:after="240"/>
      </w:pPr>
      <w:r w:rsidRPr="00F644D0">
        <w:t>Art. 3º O prazo previsto no art. 9º da Lei nº 13.155, de 5 de agosto de 2015, fica reaberto, a partir da data da publicação desta Lei, até 31 de julho de 2016</w:t>
      </w:r>
      <w:r>
        <w:t>.</w:t>
      </w:r>
    </w:p>
    <w:p w:rsidR="00F644D0" w:rsidRDefault="00F644D0" w:rsidP="00F644D0">
      <w:pPr>
        <w:pStyle w:val="05-Pargrafodetexto-CLG"/>
        <w:spacing w:after="240"/>
      </w:pPr>
      <w:r>
        <w:t xml:space="preserve">Art. 4º O disposto no inciso II do § 1º e no </w:t>
      </w:r>
      <w:r w:rsidR="00B979FD">
        <w:t>§ 3</w:t>
      </w:r>
      <w:bookmarkStart w:id="1" w:name="_GoBack"/>
      <w:bookmarkEnd w:id="1"/>
      <w:r>
        <w:t>º do art. 10 da lei nº 10.671, de 15 de maio de 2003, com a redação dad</w:t>
      </w:r>
      <w:r w:rsidR="000A0E5A">
        <w:t>a pelo art. 40 da Lei nº 13.155</w:t>
      </w:r>
      <w:r>
        <w:t xml:space="preserve">, de 2015, será exigível nas competições que tiverem início a partir de 1º de </w:t>
      </w:r>
      <w:r w:rsidR="00580D34">
        <w:t>agosto</w:t>
      </w:r>
      <w:r>
        <w:t xml:space="preserve"> de 2016.</w:t>
      </w:r>
    </w:p>
    <w:p w:rsidR="00F644D0" w:rsidRPr="00A324F9" w:rsidRDefault="00F644D0" w:rsidP="00F644D0">
      <w:pPr>
        <w:pStyle w:val="05-Pargrafodetexto-CLG"/>
        <w:spacing w:after="240"/>
      </w:pPr>
      <w:r>
        <w:t>Art. 5º Esta Lei entra em vigor na data de sua publicação</w:t>
      </w:r>
    </w:p>
    <w:p w:rsidR="00DD378D" w:rsidRPr="00DD378D" w:rsidRDefault="00DD378D" w:rsidP="00DD378D">
      <w:pPr>
        <w:pStyle w:val="10-Local-CLG"/>
      </w:pPr>
      <w:r w:rsidRPr="00DD378D">
        <w:t>Sala da Comissão,</w:t>
      </w:r>
    </w:p>
    <w:p w:rsidR="00DD378D" w:rsidRPr="00DD378D" w:rsidRDefault="00F644D0" w:rsidP="00DD378D">
      <w:pPr>
        <w:pStyle w:val="11-Assinaturas-CLG"/>
        <w:ind w:left="0"/>
        <w:jc w:val="right"/>
      </w:pPr>
      <w:r>
        <w:rPr>
          <w:b/>
        </w:rPr>
        <w:t xml:space="preserve">DEPUTADO </w:t>
      </w:r>
      <w:r w:rsidR="00580D34">
        <w:rPr>
          <w:b/>
        </w:rPr>
        <w:t>BETO FARO</w:t>
      </w:r>
      <w:r w:rsidR="00DD378D" w:rsidRPr="00DD378D">
        <w:t xml:space="preserve">, </w:t>
      </w:r>
      <w:proofErr w:type="gramStart"/>
      <w:r w:rsidR="00DD378D" w:rsidRPr="00DD378D">
        <w:t>Relator</w:t>
      </w:r>
      <w:proofErr w:type="gramEnd"/>
    </w:p>
    <w:sectPr w:rsidR="00DD378D" w:rsidRPr="00DD378D" w:rsidSect="002D2FE6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7D7B" w:rsidRDefault="00D77D7B" w:rsidP="00997D71">
      <w:pPr>
        <w:spacing w:after="0" w:line="240" w:lineRule="auto"/>
      </w:pPr>
      <w:r>
        <w:separator/>
      </w:r>
    </w:p>
  </w:endnote>
  <w:endnote w:type="continuationSeparator" w:id="0">
    <w:p w:rsidR="00D77D7B" w:rsidRDefault="00D77D7B" w:rsidP="00997D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9D7" w:rsidRDefault="00B83C36">
    <w:pPr>
      <w:pStyle w:val="Rodap"/>
      <w:jc w:val="right"/>
    </w:pPr>
    <w:r>
      <w:fldChar w:fldCharType="begin"/>
    </w:r>
    <w:r w:rsidR="005C49D7">
      <w:instrText xml:space="preserve"> PAGE   \* MERGEFORMAT </w:instrText>
    </w:r>
    <w:r>
      <w:fldChar w:fldCharType="separate"/>
    </w:r>
    <w:r w:rsidR="00C3453B">
      <w:rPr>
        <w:noProof/>
      </w:rPr>
      <w:t>6</w:t>
    </w:r>
    <w:r>
      <w:rPr>
        <w:noProof/>
      </w:rPr>
      <w:fldChar w:fldCharType="end"/>
    </w:r>
  </w:p>
  <w:p w:rsidR="005C49D7" w:rsidRDefault="005C49D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7D7B" w:rsidRDefault="00D77D7B" w:rsidP="00997D71">
      <w:pPr>
        <w:spacing w:after="0" w:line="240" w:lineRule="auto"/>
      </w:pPr>
      <w:r>
        <w:separator/>
      </w:r>
    </w:p>
  </w:footnote>
  <w:footnote w:type="continuationSeparator" w:id="0">
    <w:p w:rsidR="00D77D7B" w:rsidRDefault="00D77D7B" w:rsidP="00997D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9D7" w:rsidRPr="00623E7D" w:rsidRDefault="005C49D7" w:rsidP="000A4C54">
    <w:pPr>
      <w:pStyle w:val="Cabealho"/>
      <w:jc w:val="center"/>
    </w:pPr>
    <w:r w:rsidRPr="00674CDB">
      <w:rPr>
        <w:noProof/>
        <w:lang w:eastAsia="pt-BR"/>
      </w:rPr>
      <w:drawing>
        <wp:inline distT="0" distB="0" distL="0" distR="0">
          <wp:extent cx="638175" cy="629920"/>
          <wp:effectExtent l="0" t="0" r="9525" b="0"/>
          <wp:docPr id="6" name="Imagem 0" descr="planalto_presidencia_simbolosnacionais_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planalto_presidencia_simbolosnacionais_bras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C49D7" w:rsidRPr="00623E7D" w:rsidRDefault="005C49D7" w:rsidP="00137E59">
    <w:pPr>
      <w:pStyle w:val="Cabealho"/>
      <w:spacing w:after="0"/>
      <w:jc w:val="center"/>
    </w:pPr>
    <w:r>
      <w:t>CÂMARA DOS DEPUTADOS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861F2"/>
    <w:multiLevelType w:val="hybridMultilevel"/>
    <w:tmpl w:val="E53AA0F4"/>
    <w:lvl w:ilvl="0" w:tplc="1CFE800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>
    <w:nsid w:val="076568E4"/>
    <w:multiLevelType w:val="hybridMultilevel"/>
    <w:tmpl w:val="110AFA50"/>
    <w:lvl w:ilvl="0" w:tplc="BD04C4B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>
    <w:nsid w:val="1B73490E"/>
    <w:multiLevelType w:val="hybridMultilevel"/>
    <w:tmpl w:val="E9C02A78"/>
    <w:lvl w:ilvl="0" w:tplc="3DFC3FB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33B85F71"/>
    <w:multiLevelType w:val="hybridMultilevel"/>
    <w:tmpl w:val="CB4483CE"/>
    <w:lvl w:ilvl="0" w:tplc="1400CC2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3CA127B9"/>
    <w:multiLevelType w:val="hybridMultilevel"/>
    <w:tmpl w:val="E53AA0F4"/>
    <w:lvl w:ilvl="0" w:tplc="1CFE800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>
    <w:nsid w:val="50A46C2D"/>
    <w:multiLevelType w:val="hybridMultilevel"/>
    <w:tmpl w:val="FD9C09FE"/>
    <w:lvl w:ilvl="0" w:tplc="33C6796E">
      <w:start w:val="1"/>
      <w:numFmt w:val="lowerLetter"/>
      <w:lvlText w:val="%1)"/>
      <w:lvlJc w:val="left"/>
      <w:pPr>
        <w:ind w:left="1778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>
    <w:nsid w:val="5E4C4678"/>
    <w:multiLevelType w:val="hybridMultilevel"/>
    <w:tmpl w:val="2BBC50DC"/>
    <w:lvl w:ilvl="0" w:tplc="503804FA">
      <w:start w:val="1"/>
      <w:numFmt w:val="lowerLetter"/>
      <w:lvlText w:val="%1)"/>
      <w:lvlJc w:val="left"/>
      <w:pPr>
        <w:ind w:left="3206" w:hanging="1788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>
    <w:nsid w:val="690F27D6"/>
    <w:multiLevelType w:val="hybridMultilevel"/>
    <w:tmpl w:val="9B4E9AC0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7EC93F44"/>
    <w:multiLevelType w:val="hybridMultilevel"/>
    <w:tmpl w:val="9B4E9AC0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7CC"/>
    <w:rsid w:val="000173D8"/>
    <w:rsid w:val="00041678"/>
    <w:rsid w:val="000617A6"/>
    <w:rsid w:val="0007774F"/>
    <w:rsid w:val="000801C6"/>
    <w:rsid w:val="000977EB"/>
    <w:rsid w:val="000A0E5A"/>
    <w:rsid w:val="000A4C54"/>
    <w:rsid w:val="000C03EF"/>
    <w:rsid w:val="000E2CF8"/>
    <w:rsid w:val="000E3E77"/>
    <w:rsid w:val="00111D6A"/>
    <w:rsid w:val="00137E59"/>
    <w:rsid w:val="00160282"/>
    <w:rsid w:val="00183D46"/>
    <w:rsid w:val="0018418E"/>
    <w:rsid w:val="0018629E"/>
    <w:rsid w:val="001B440D"/>
    <w:rsid w:val="001C5D85"/>
    <w:rsid w:val="001F40CC"/>
    <w:rsid w:val="001F773A"/>
    <w:rsid w:val="002148BE"/>
    <w:rsid w:val="00235E6A"/>
    <w:rsid w:val="002552A8"/>
    <w:rsid w:val="00292C1C"/>
    <w:rsid w:val="002D2FE6"/>
    <w:rsid w:val="002F01A7"/>
    <w:rsid w:val="002F2CE1"/>
    <w:rsid w:val="0032605C"/>
    <w:rsid w:val="00336C18"/>
    <w:rsid w:val="00380F10"/>
    <w:rsid w:val="00392DBD"/>
    <w:rsid w:val="003B3965"/>
    <w:rsid w:val="003E195A"/>
    <w:rsid w:val="004035C4"/>
    <w:rsid w:val="00417A0B"/>
    <w:rsid w:val="00424C03"/>
    <w:rsid w:val="00445E13"/>
    <w:rsid w:val="004C4ECD"/>
    <w:rsid w:val="004D4AAA"/>
    <w:rsid w:val="004F21B6"/>
    <w:rsid w:val="004F3F1A"/>
    <w:rsid w:val="0051038E"/>
    <w:rsid w:val="00543726"/>
    <w:rsid w:val="00545A39"/>
    <w:rsid w:val="005549CD"/>
    <w:rsid w:val="00567780"/>
    <w:rsid w:val="00580D34"/>
    <w:rsid w:val="00585E8E"/>
    <w:rsid w:val="005C49D7"/>
    <w:rsid w:val="005D4E79"/>
    <w:rsid w:val="005E50D1"/>
    <w:rsid w:val="00604C93"/>
    <w:rsid w:val="00637D8F"/>
    <w:rsid w:val="00674B4F"/>
    <w:rsid w:val="00692AAD"/>
    <w:rsid w:val="006C3F23"/>
    <w:rsid w:val="006D4DDC"/>
    <w:rsid w:val="006E6127"/>
    <w:rsid w:val="00707C53"/>
    <w:rsid w:val="00711E10"/>
    <w:rsid w:val="007424CC"/>
    <w:rsid w:val="00750CCA"/>
    <w:rsid w:val="007713AC"/>
    <w:rsid w:val="00791B69"/>
    <w:rsid w:val="00793CC3"/>
    <w:rsid w:val="007C26DE"/>
    <w:rsid w:val="007F57DF"/>
    <w:rsid w:val="008009DE"/>
    <w:rsid w:val="00842A83"/>
    <w:rsid w:val="00847986"/>
    <w:rsid w:val="00857EEF"/>
    <w:rsid w:val="00860A2F"/>
    <w:rsid w:val="00871A84"/>
    <w:rsid w:val="008A370E"/>
    <w:rsid w:val="008A509C"/>
    <w:rsid w:val="008A53A1"/>
    <w:rsid w:val="008B6004"/>
    <w:rsid w:val="008D2A99"/>
    <w:rsid w:val="009117A1"/>
    <w:rsid w:val="00914628"/>
    <w:rsid w:val="00916D41"/>
    <w:rsid w:val="009252C6"/>
    <w:rsid w:val="00934DF4"/>
    <w:rsid w:val="00947589"/>
    <w:rsid w:val="009728E5"/>
    <w:rsid w:val="00997D71"/>
    <w:rsid w:val="009A7EE2"/>
    <w:rsid w:val="009B5A56"/>
    <w:rsid w:val="009D66FE"/>
    <w:rsid w:val="009F055E"/>
    <w:rsid w:val="00A279C6"/>
    <w:rsid w:val="00A429C1"/>
    <w:rsid w:val="00A63B1E"/>
    <w:rsid w:val="00AD15A8"/>
    <w:rsid w:val="00AD3671"/>
    <w:rsid w:val="00B04D97"/>
    <w:rsid w:val="00B15D13"/>
    <w:rsid w:val="00B25A78"/>
    <w:rsid w:val="00B45657"/>
    <w:rsid w:val="00B83C36"/>
    <w:rsid w:val="00B93379"/>
    <w:rsid w:val="00B979FD"/>
    <w:rsid w:val="00BC5F32"/>
    <w:rsid w:val="00C3453B"/>
    <w:rsid w:val="00C93234"/>
    <w:rsid w:val="00CA6272"/>
    <w:rsid w:val="00CF03BB"/>
    <w:rsid w:val="00D04854"/>
    <w:rsid w:val="00D10BEE"/>
    <w:rsid w:val="00D30672"/>
    <w:rsid w:val="00D517B3"/>
    <w:rsid w:val="00D60195"/>
    <w:rsid w:val="00D77D7B"/>
    <w:rsid w:val="00D91799"/>
    <w:rsid w:val="00DB5981"/>
    <w:rsid w:val="00DD378D"/>
    <w:rsid w:val="00DE6410"/>
    <w:rsid w:val="00DF0320"/>
    <w:rsid w:val="00DF695E"/>
    <w:rsid w:val="00E00630"/>
    <w:rsid w:val="00E029BE"/>
    <w:rsid w:val="00E321D3"/>
    <w:rsid w:val="00E55FCF"/>
    <w:rsid w:val="00E56A90"/>
    <w:rsid w:val="00E57CE0"/>
    <w:rsid w:val="00E653CC"/>
    <w:rsid w:val="00E736F2"/>
    <w:rsid w:val="00E837CC"/>
    <w:rsid w:val="00E973A2"/>
    <w:rsid w:val="00EB6CBE"/>
    <w:rsid w:val="00EB795A"/>
    <w:rsid w:val="00ED3B1E"/>
    <w:rsid w:val="00EE4767"/>
    <w:rsid w:val="00EE780A"/>
    <w:rsid w:val="00EF06AC"/>
    <w:rsid w:val="00F00F99"/>
    <w:rsid w:val="00F36D4A"/>
    <w:rsid w:val="00F51B13"/>
    <w:rsid w:val="00F54B4C"/>
    <w:rsid w:val="00F644D0"/>
    <w:rsid w:val="00F76A6D"/>
    <w:rsid w:val="00F82E31"/>
    <w:rsid w:val="00F87E0C"/>
    <w:rsid w:val="00F914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37CC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01-Minuta-CLG">
    <w:name w:val="01 - Minuta - CLG"/>
    <w:link w:val="01-Minuta-CLGChar"/>
    <w:rsid w:val="00E837CC"/>
    <w:pPr>
      <w:spacing w:after="180"/>
      <w:jc w:val="center"/>
    </w:pPr>
    <w:rPr>
      <w:rFonts w:eastAsia="Times New Roman"/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E837CC"/>
    <w:pPr>
      <w:spacing w:after="960"/>
      <w:jc w:val="center"/>
    </w:pPr>
    <w:rPr>
      <w:rFonts w:eastAsia="Times New Roman"/>
      <w:b/>
      <w:bCs/>
      <w:sz w:val="32"/>
      <w:szCs w:val="22"/>
    </w:rPr>
  </w:style>
  <w:style w:type="paragraph" w:customStyle="1" w:styleId="03-Ementa-CLG">
    <w:name w:val="03 - Ementa - CLG"/>
    <w:link w:val="03-Ementa-CLGCharChar"/>
    <w:rsid w:val="00E837CC"/>
    <w:pPr>
      <w:spacing w:after="960"/>
      <w:ind w:left="3686"/>
      <w:jc w:val="both"/>
    </w:pPr>
    <w:rPr>
      <w:rFonts w:eastAsia="Arial Unicode MS"/>
      <w:szCs w:val="24"/>
    </w:rPr>
  </w:style>
  <w:style w:type="character" w:customStyle="1" w:styleId="03-Ementa-CLGCharChar">
    <w:name w:val="03 - Ementa - CLG Char Char"/>
    <w:link w:val="03-Ementa-CLG"/>
    <w:rsid w:val="00E837CC"/>
    <w:rPr>
      <w:rFonts w:eastAsia="Arial Unicode MS"/>
      <w:szCs w:val="24"/>
      <w:lang w:eastAsia="pt-BR" w:bidi="ar-SA"/>
    </w:rPr>
  </w:style>
  <w:style w:type="paragraph" w:customStyle="1" w:styleId="04-Relatoria-CLG">
    <w:name w:val="04 - Relatoria - CLG"/>
    <w:link w:val="04-Relatoria-CLGChar"/>
    <w:rsid w:val="00E837CC"/>
    <w:pPr>
      <w:spacing w:after="960"/>
      <w:ind w:left="1440"/>
    </w:pPr>
    <w:rPr>
      <w:rFonts w:eastAsia="Times New Roman"/>
      <w:sz w:val="28"/>
      <w:szCs w:val="22"/>
    </w:rPr>
  </w:style>
  <w:style w:type="paragraph" w:customStyle="1" w:styleId="05-Subttulo-CLG">
    <w:name w:val="05 - Subtítulo - CLG"/>
    <w:link w:val="05-Subttulo-CLGChar"/>
    <w:rsid w:val="00E837CC"/>
    <w:pPr>
      <w:spacing w:after="480"/>
      <w:jc w:val="both"/>
    </w:pPr>
    <w:rPr>
      <w:rFonts w:eastAsia="Times New Roman"/>
      <w:b/>
      <w:bCs/>
      <w:sz w:val="28"/>
      <w:szCs w:val="22"/>
    </w:rPr>
  </w:style>
  <w:style w:type="paragraph" w:customStyle="1" w:styleId="06-Pargrafodetexto-CLG">
    <w:name w:val="06 - Parágrafo de texto - CLG"/>
    <w:link w:val="06-Pargrafodetexto-CLGChar"/>
    <w:rsid w:val="00E837CC"/>
    <w:pPr>
      <w:spacing w:after="360"/>
      <w:ind w:firstLine="1418"/>
      <w:jc w:val="both"/>
    </w:pPr>
    <w:rPr>
      <w:rFonts w:eastAsia="Times New Roman"/>
      <w:sz w:val="28"/>
      <w:szCs w:val="22"/>
    </w:rPr>
  </w:style>
  <w:style w:type="character" w:customStyle="1" w:styleId="01-Minuta-CLGChar">
    <w:name w:val="01 - Minuta - CLG Char"/>
    <w:link w:val="01-Minuta-CLG"/>
    <w:rsid w:val="00E837CC"/>
    <w:rPr>
      <w:rFonts w:eastAsia="Times New Roman"/>
      <w:sz w:val="24"/>
      <w:szCs w:val="22"/>
      <w:lang w:eastAsia="pt-BR" w:bidi="ar-SA"/>
    </w:rPr>
  </w:style>
  <w:style w:type="paragraph" w:customStyle="1" w:styleId="11-Assinaturas-CLG">
    <w:name w:val="11 - Assinaturas - CLG"/>
    <w:link w:val="11-Assinaturas-CLGChar"/>
    <w:rsid w:val="00E837CC"/>
    <w:pPr>
      <w:spacing w:after="960"/>
      <w:ind w:left="6240"/>
      <w:jc w:val="both"/>
    </w:pPr>
    <w:rPr>
      <w:rFonts w:eastAsia="Times New Roman"/>
      <w:sz w:val="28"/>
      <w:szCs w:val="22"/>
    </w:rPr>
  </w:style>
  <w:style w:type="character" w:customStyle="1" w:styleId="02-TtuloPrincipal-CLGChar">
    <w:name w:val="02 - Título Principal - CLG Char"/>
    <w:link w:val="02-TtuloPrincipal-CLG"/>
    <w:rsid w:val="00E837CC"/>
    <w:rPr>
      <w:rFonts w:eastAsia="Times New Roman"/>
      <w:b/>
      <w:bCs/>
      <w:sz w:val="32"/>
      <w:szCs w:val="22"/>
      <w:lang w:eastAsia="pt-BR" w:bidi="ar-SA"/>
    </w:rPr>
  </w:style>
  <w:style w:type="character" w:customStyle="1" w:styleId="04-Relatoria-CLGChar">
    <w:name w:val="04 - Relatoria - CLG Char"/>
    <w:link w:val="04-Relatoria-CLG"/>
    <w:rsid w:val="00E837CC"/>
    <w:rPr>
      <w:rFonts w:eastAsia="Times New Roman"/>
      <w:sz w:val="28"/>
      <w:szCs w:val="22"/>
      <w:lang w:eastAsia="pt-BR" w:bidi="ar-SA"/>
    </w:rPr>
  </w:style>
  <w:style w:type="character" w:customStyle="1" w:styleId="05-Subttulo-CLGChar">
    <w:name w:val="05 - Subtítulo - CLG Char"/>
    <w:link w:val="05-Subttulo-CLG"/>
    <w:rsid w:val="00E837CC"/>
    <w:rPr>
      <w:rFonts w:eastAsia="Times New Roman"/>
      <w:b/>
      <w:bCs/>
      <w:sz w:val="28"/>
      <w:szCs w:val="22"/>
      <w:lang w:eastAsia="pt-BR" w:bidi="ar-SA"/>
    </w:rPr>
  </w:style>
  <w:style w:type="character" w:customStyle="1" w:styleId="06-Pargrafodetexto-CLGChar">
    <w:name w:val="06 - Parágrafo de texto - CLG Char"/>
    <w:link w:val="06-Pargrafodetexto-CLG"/>
    <w:rsid w:val="00E837CC"/>
    <w:rPr>
      <w:rFonts w:eastAsia="Times New Roman"/>
      <w:sz w:val="28"/>
      <w:szCs w:val="22"/>
      <w:lang w:eastAsia="pt-BR" w:bidi="ar-SA"/>
    </w:rPr>
  </w:style>
  <w:style w:type="character" w:customStyle="1" w:styleId="11-Assinaturas-CLGChar">
    <w:name w:val="11 - Assinaturas - CLG Char"/>
    <w:link w:val="11-Assinaturas-CLG"/>
    <w:rsid w:val="00E837CC"/>
    <w:rPr>
      <w:rFonts w:eastAsia="Times New Roman"/>
      <w:sz w:val="28"/>
      <w:szCs w:val="22"/>
      <w:lang w:eastAsia="pt-BR" w:bidi="ar-SA"/>
    </w:rPr>
  </w:style>
  <w:style w:type="paragraph" w:customStyle="1" w:styleId="04-PargrafodetextoEstudoNotas-CLG">
    <w:name w:val="04 - Parágrafo de texto Estudo Notas - CLG"/>
    <w:link w:val="04-PargrafodetextoEstudoNotas-CLGChar"/>
    <w:rsid w:val="00E837CC"/>
    <w:pPr>
      <w:spacing w:after="360" w:line="360" w:lineRule="auto"/>
      <w:ind w:firstLine="1418"/>
      <w:jc w:val="both"/>
    </w:pPr>
    <w:rPr>
      <w:rFonts w:eastAsia="Times New Roman"/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E837CC"/>
    <w:rPr>
      <w:rFonts w:eastAsia="Times New Roman"/>
      <w:sz w:val="28"/>
      <w:szCs w:val="22"/>
      <w:lang w:eastAsia="pt-BR" w:bidi="ar-SA"/>
    </w:rPr>
  </w:style>
  <w:style w:type="character" w:customStyle="1" w:styleId="Recuodecorpodetexto2Char">
    <w:name w:val="Recuo de corpo de texto 2 Char"/>
    <w:link w:val="Recuodecorpodetexto2"/>
    <w:locked/>
    <w:rsid w:val="00E837CC"/>
    <w:rPr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E837CC"/>
    <w:pPr>
      <w:spacing w:after="120" w:line="480" w:lineRule="auto"/>
      <w:ind w:left="283"/>
    </w:pPr>
    <w:rPr>
      <w:rFonts w:ascii="Times New Roman" w:hAnsi="Times New Roman"/>
      <w:sz w:val="20"/>
      <w:szCs w:val="24"/>
      <w:lang w:eastAsia="pt-BR"/>
    </w:rPr>
  </w:style>
  <w:style w:type="character" w:customStyle="1" w:styleId="Recuodecorpodetexto2Char1">
    <w:name w:val="Recuo de corpo de texto 2 Char1"/>
    <w:uiPriority w:val="99"/>
    <w:semiHidden/>
    <w:rsid w:val="00E837CC"/>
    <w:rPr>
      <w:rFonts w:ascii="Calibri" w:eastAsia="Calibri" w:hAnsi="Calibri" w:cs="Times New Roman"/>
      <w:sz w:val="22"/>
    </w:rPr>
  </w:style>
  <w:style w:type="paragraph" w:styleId="Corpodetexto">
    <w:name w:val="Body Text"/>
    <w:basedOn w:val="Normal"/>
    <w:link w:val="CorpodetextoChar"/>
    <w:rsid w:val="00E837CC"/>
    <w:pPr>
      <w:spacing w:after="12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CorpodetextoChar">
    <w:name w:val="Corpo de texto Char"/>
    <w:link w:val="Corpodetexto"/>
    <w:rsid w:val="00E837CC"/>
    <w:rPr>
      <w:rFonts w:eastAsia="Times New Roman" w:cs="Times New Roman"/>
      <w:szCs w:val="20"/>
      <w:lang w:eastAsia="pt-BR"/>
    </w:rPr>
  </w:style>
  <w:style w:type="paragraph" w:customStyle="1" w:styleId="05-Pargrafodetexto-CLG">
    <w:name w:val="05 - Parágrafo de texto - CLG"/>
    <w:link w:val="05-Pargrafodetexto-CLGChar"/>
    <w:rsid w:val="00E837CC"/>
    <w:pPr>
      <w:spacing w:after="360"/>
      <w:ind w:firstLine="1418"/>
      <w:jc w:val="both"/>
    </w:pPr>
    <w:rPr>
      <w:rFonts w:eastAsia="Times New Roman"/>
      <w:sz w:val="28"/>
      <w:szCs w:val="22"/>
    </w:rPr>
  </w:style>
  <w:style w:type="character" w:customStyle="1" w:styleId="05-Pargrafodetexto-CLGChar">
    <w:name w:val="05 - Parágrafo de texto - CLG Char"/>
    <w:link w:val="05-Pargrafodetexto-CLG"/>
    <w:rsid w:val="00E837CC"/>
    <w:rPr>
      <w:rFonts w:eastAsia="Times New Roman"/>
      <w:sz w:val="28"/>
      <w:szCs w:val="22"/>
      <w:lang w:eastAsia="pt-BR" w:bidi="ar-SA"/>
    </w:rPr>
  </w:style>
  <w:style w:type="character" w:styleId="Hyperlink">
    <w:name w:val="Hyperlink"/>
    <w:uiPriority w:val="99"/>
    <w:unhideWhenUsed/>
    <w:rsid w:val="00E837CC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E837CC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E837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E837CC"/>
    <w:rPr>
      <w:rFonts w:ascii="Calibri" w:eastAsia="Calibri" w:hAnsi="Calibri" w:cs="Times New Roman"/>
      <w:sz w:val="22"/>
    </w:rPr>
  </w:style>
  <w:style w:type="paragraph" w:customStyle="1" w:styleId="Default">
    <w:name w:val="Default"/>
    <w:qFormat/>
    <w:rsid w:val="00E973A2"/>
    <w:pPr>
      <w:suppressAutoHyphens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data">
    <w:name w:val="data"/>
    <w:basedOn w:val="Normal"/>
    <w:qFormat/>
    <w:rsid w:val="00E973A2"/>
    <w:pPr>
      <w:keepNext/>
      <w:widowControl w:val="0"/>
      <w:spacing w:before="554" w:after="1072" w:line="360" w:lineRule="exact"/>
      <w:ind w:firstLine="2302"/>
      <w:jc w:val="both"/>
    </w:pPr>
    <w:rPr>
      <w:rFonts w:ascii="Arial" w:eastAsia="Times New Roman" w:hAnsi="Arial"/>
      <w:color w:val="000000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76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76A6D"/>
    <w:rPr>
      <w:rFonts w:ascii="Tahoma" w:hAnsi="Tahoma" w:cs="Tahoma"/>
      <w:sz w:val="16"/>
      <w:szCs w:val="16"/>
      <w:lang w:eastAsia="en-US"/>
    </w:rPr>
  </w:style>
  <w:style w:type="paragraph" w:styleId="Cabealho">
    <w:name w:val="header"/>
    <w:aliases w:val="Cabeçalho - CLG"/>
    <w:basedOn w:val="Normal"/>
    <w:link w:val="CabealhoChar"/>
    <w:uiPriority w:val="99"/>
    <w:unhideWhenUsed/>
    <w:rsid w:val="00137E5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- CLG Char"/>
    <w:basedOn w:val="Fontepargpadro"/>
    <w:link w:val="Cabealho"/>
    <w:uiPriority w:val="99"/>
    <w:rsid w:val="00137E59"/>
    <w:rPr>
      <w:rFonts w:ascii="Calibri" w:hAnsi="Calibri"/>
      <w:sz w:val="22"/>
      <w:szCs w:val="22"/>
      <w:lang w:eastAsia="en-US"/>
    </w:rPr>
  </w:style>
  <w:style w:type="paragraph" w:customStyle="1" w:styleId="10-Local-CLG">
    <w:name w:val="10 - Local - CLG"/>
    <w:link w:val="10-Local-CLGChar"/>
    <w:rsid w:val="00DD378D"/>
    <w:pPr>
      <w:spacing w:before="960" w:after="720"/>
      <w:ind w:firstLine="2520"/>
      <w:jc w:val="both"/>
    </w:pPr>
    <w:rPr>
      <w:rFonts w:eastAsia="Times New Roman"/>
      <w:sz w:val="28"/>
    </w:rPr>
  </w:style>
  <w:style w:type="character" w:customStyle="1" w:styleId="10-Local-CLGChar">
    <w:name w:val="10 - Local - CLG Char"/>
    <w:link w:val="10-Local-CLG"/>
    <w:rsid w:val="00DD378D"/>
    <w:rPr>
      <w:rFonts w:eastAsia="Times New Roman"/>
      <w:sz w:val="28"/>
    </w:rPr>
  </w:style>
  <w:style w:type="paragraph" w:customStyle="1" w:styleId="Normal1">
    <w:name w:val="Normal+1"/>
    <w:basedOn w:val="Default"/>
    <w:next w:val="Default"/>
    <w:uiPriority w:val="99"/>
    <w:rsid w:val="00DD378D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37CC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01-Minuta-CLG">
    <w:name w:val="01 - Minuta - CLG"/>
    <w:link w:val="01-Minuta-CLGChar"/>
    <w:rsid w:val="00E837CC"/>
    <w:pPr>
      <w:spacing w:after="180"/>
      <w:jc w:val="center"/>
    </w:pPr>
    <w:rPr>
      <w:rFonts w:eastAsia="Times New Roman"/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E837CC"/>
    <w:pPr>
      <w:spacing w:after="960"/>
      <w:jc w:val="center"/>
    </w:pPr>
    <w:rPr>
      <w:rFonts w:eastAsia="Times New Roman"/>
      <w:b/>
      <w:bCs/>
      <w:sz w:val="32"/>
      <w:szCs w:val="22"/>
    </w:rPr>
  </w:style>
  <w:style w:type="paragraph" w:customStyle="1" w:styleId="03-Ementa-CLG">
    <w:name w:val="03 - Ementa - CLG"/>
    <w:link w:val="03-Ementa-CLGCharChar"/>
    <w:rsid w:val="00E837CC"/>
    <w:pPr>
      <w:spacing w:after="960"/>
      <w:ind w:left="3686"/>
      <w:jc w:val="both"/>
    </w:pPr>
    <w:rPr>
      <w:rFonts w:eastAsia="Arial Unicode MS"/>
      <w:szCs w:val="24"/>
    </w:rPr>
  </w:style>
  <w:style w:type="character" w:customStyle="1" w:styleId="03-Ementa-CLGCharChar">
    <w:name w:val="03 - Ementa - CLG Char Char"/>
    <w:link w:val="03-Ementa-CLG"/>
    <w:rsid w:val="00E837CC"/>
    <w:rPr>
      <w:rFonts w:eastAsia="Arial Unicode MS"/>
      <w:szCs w:val="24"/>
      <w:lang w:eastAsia="pt-BR" w:bidi="ar-SA"/>
    </w:rPr>
  </w:style>
  <w:style w:type="paragraph" w:customStyle="1" w:styleId="04-Relatoria-CLG">
    <w:name w:val="04 - Relatoria - CLG"/>
    <w:link w:val="04-Relatoria-CLGChar"/>
    <w:rsid w:val="00E837CC"/>
    <w:pPr>
      <w:spacing w:after="960"/>
      <w:ind w:left="1440"/>
    </w:pPr>
    <w:rPr>
      <w:rFonts w:eastAsia="Times New Roman"/>
      <w:sz w:val="28"/>
      <w:szCs w:val="22"/>
    </w:rPr>
  </w:style>
  <w:style w:type="paragraph" w:customStyle="1" w:styleId="05-Subttulo-CLG">
    <w:name w:val="05 - Subtítulo - CLG"/>
    <w:link w:val="05-Subttulo-CLGChar"/>
    <w:rsid w:val="00E837CC"/>
    <w:pPr>
      <w:spacing w:after="480"/>
      <w:jc w:val="both"/>
    </w:pPr>
    <w:rPr>
      <w:rFonts w:eastAsia="Times New Roman"/>
      <w:b/>
      <w:bCs/>
      <w:sz w:val="28"/>
      <w:szCs w:val="22"/>
    </w:rPr>
  </w:style>
  <w:style w:type="paragraph" w:customStyle="1" w:styleId="06-Pargrafodetexto-CLG">
    <w:name w:val="06 - Parágrafo de texto - CLG"/>
    <w:link w:val="06-Pargrafodetexto-CLGChar"/>
    <w:rsid w:val="00E837CC"/>
    <w:pPr>
      <w:spacing w:after="360"/>
      <w:ind w:firstLine="1418"/>
      <w:jc w:val="both"/>
    </w:pPr>
    <w:rPr>
      <w:rFonts w:eastAsia="Times New Roman"/>
      <w:sz w:val="28"/>
      <w:szCs w:val="22"/>
    </w:rPr>
  </w:style>
  <w:style w:type="character" w:customStyle="1" w:styleId="01-Minuta-CLGChar">
    <w:name w:val="01 - Minuta - CLG Char"/>
    <w:link w:val="01-Minuta-CLG"/>
    <w:rsid w:val="00E837CC"/>
    <w:rPr>
      <w:rFonts w:eastAsia="Times New Roman"/>
      <w:sz w:val="24"/>
      <w:szCs w:val="22"/>
      <w:lang w:eastAsia="pt-BR" w:bidi="ar-SA"/>
    </w:rPr>
  </w:style>
  <w:style w:type="paragraph" w:customStyle="1" w:styleId="11-Assinaturas-CLG">
    <w:name w:val="11 - Assinaturas - CLG"/>
    <w:link w:val="11-Assinaturas-CLGChar"/>
    <w:rsid w:val="00E837CC"/>
    <w:pPr>
      <w:spacing w:after="960"/>
      <w:ind w:left="6240"/>
      <w:jc w:val="both"/>
    </w:pPr>
    <w:rPr>
      <w:rFonts w:eastAsia="Times New Roman"/>
      <w:sz w:val="28"/>
      <w:szCs w:val="22"/>
    </w:rPr>
  </w:style>
  <w:style w:type="character" w:customStyle="1" w:styleId="02-TtuloPrincipal-CLGChar">
    <w:name w:val="02 - Título Principal - CLG Char"/>
    <w:link w:val="02-TtuloPrincipal-CLG"/>
    <w:rsid w:val="00E837CC"/>
    <w:rPr>
      <w:rFonts w:eastAsia="Times New Roman"/>
      <w:b/>
      <w:bCs/>
      <w:sz w:val="32"/>
      <w:szCs w:val="22"/>
      <w:lang w:eastAsia="pt-BR" w:bidi="ar-SA"/>
    </w:rPr>
  </w:style>
  <w:style w:type="character" w:customStyle="1" w:styleId="04-Relatoria-CLGChar">
    <w:name w:val="04 - Relatoria - CLG Char"/>
    <w:link w:val="04-Relatoria-CLG"/>
    <w:rsid w:val="00E837CC"/>
    <w:rPr>
      <w:rFonts w:eastAsia="Times New Roman"/>
      <w:sz w:val="28"/>
      <w:szCs w:val="22"/>
      <w:lang w:eastAsia="pt-BR" w:bidi="ar-SA"/>
    </w:rPr>
  </w:style>
  <w:style w:type="character" w:customStyle="1" w:styleId="05-Subttulo-CLGChar">
    <w:name w:val="05 - Subtítulo - CLG Char"/>
    <w:link w:val="05-Subttulo-CLG"/>
    <w:rsid w:val="00E837CC"/>
    <w:rPr>
      <w:rFonts w:eastAsia="Times New Roman"/>
      <w:b/>
      <w:bCs/>
      <w:sz w:val="28"/>
      <w:szCs w:val="22"/>
      <w:lang w:eastAsia="pt-BR" w:bidi="ar-SA"/>
    </w:rPr>
  </w:style>
  <w:style w:type="character" w:customStyle="1" w:styleId="06-Pargrafodetexto-CLGChar">
    <w:name w:val="06 - Parágrafo de texto - CLG Char"/>
    <w:link w:val="06-Pargrafodetexto-CLG"/>
    <w:rsid w:val="00E837CC"/>
    <w:rPr>
      <w:rFonts w:eastAsia="Times New Roman"/>
      <w:sz w:val="28"/>
      <w:szCs w:val="22"/>
      <w:lang w:eastAsia="pt-BR" w:bidi="ar-SA"/>
    </w:rPr>
  </w:style>
  <w:style w:type="character" w:customStyle="1" w:styleId="11-Assinaturas-CLGChar">
    <w:name w:val="11 - Assinaturas - CLG Char"/>
    <w:link w:val="11-Assinaturas-CLG"/>
    <w:rsid w:val="00E837CC"/>
    <w:rPr>
      <w:rFonts w:eastAsia="Times New Roman"/>
      <w:sz w:val="28"/>
      <w:szCs w:val="22"/>
      <w:lang w:eastAsia="pt-BR" w:bidi="ar-SA"/>
    </w:rPr>
  </w:style>
  <w:style w:type="paragraph" w:customStyle="1" w:styleId="04-PargrafodetextoEstudoNotas-CLG">
    <w:name w:val="04 - Parágrafo de texto Estudo Notas - CLG"/>
    <w:link w:val="04-PargrafodetextoEstudoNotas-CLGChar"/>
    <w:rsid w:val="00E837CC"/>
    <w:pPr>
      <w:spacing w:after="360" w:line="360" w:lineRule="auto"/>
      <w:ind w:firstLine="1418"/>
      <w:jc w:val="both"/>
    </w:pPr>
    <w:rPr>
      <w:rFonts w:eastAsia="Times New Roman"/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E837CC"/>
    <w:rPr>
      <w:rFonts w:eastAsia="Times New Roman"/>
      <w:sz w:val="28"/>
      <w:szCs w:val="22"/>
      <w:lang w:eastAsia="pt-BR" w:bidi="ar-SA"/>
    </w:rPr>
  </w:style>
  <w:style w:type="character" w:customStyle="1" w:styleId="Recuodecorpodetexto2Char">
    <w:name w:val="Recuo de corpo de texto 2 Char"/>
    <w:link w:val="Recuodecorpodetexto2"/>
    <w:locked/>
    <w:rsid w:val="00E837CC"/>
    <w:rPr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E837CC"/>
    <w:pPr>
      <w:spacing w:after="120" w:line="480" w:lineRule="auto"/>
      <w:ind w:left="283"/>
    </w:pPr>
    <w:rPr>
      <w:rFonts w:ascii="Times New Roman" w:hAnsi="Times New Roman"/>
      <w:sz w:val="20"/>
      <w:szCs w:val="24"/>
      <w:lang w:val="x-none" w:eastAsia="pt-BR"/>
    </w:rPr>
  </w:style>
  <w:style w:type="character" w:customStyle="1" w:styleId="Recuodecorpodetexto2Char1">
    <w:name w:val="Recuo de corpo de texto 2 Char1"/>
    <w:uiPriority w:val="99"/>
    <w:semiHidden/>
    <w:rsid w:val="00E837CC"/>
    <w:rPr>
      <w:rFonts w:ascii="Calibri" w:eastAsia="Calibri" w:hAnsi="Calibri" w:cs="Times New Roman"/>
      <w:sz w:val="22"/>
    </w:rPr>
  </w:style>
  <w:style w:type="paragraph" w:styleId="Corpodetexto">
    <w:name w:val="Body Text"/>
    <w:basedOn w:val="Normal"/>
    <w:link w:val="CorpodetextoChar"/>
    <w:rsid w:val="00E837CC"/>
    <w:pPr>
      <w:spacing w:after="12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CorpodetextoChar">
    <w:name w:val="Corpo de texto Char"/>
    <w:link w:val="Corpodetexto"/>
    <w:rsid w:val="00E837CC"/>
    <w:rPr>
      <w:rFonts w:eastAsia="Times New Roman" w:cs="Times New Roman"/>
      <w:szCs w:val="20"/>
      <w:lang w:eastAsia="pt-BR"/>
    </w:rPr>
  </w:style>
  <w:style w:type="paragraph" w:customStyle="1" w:styleId="05-Pargrafodetexto-CLG">
    <w:name w:val="05 - Parágrafo de texto - CLG"/>
    <w:link w:val="05-Pargrafodetexto-CLGChar"/>
    <w:rsid w:val="00E837CC"/>
    <w:pPr>
      <w:spacing w:after="360"/>
      <w:ind w:firstLine="1418"/>
      <w:jc w:val="both"/>
    </w:pPr>
    <w:rPr>
      <w:rFonts w:eastAsia="Times New Roman"/>
      <w:sz w:val="28"/>
      <w:szCs w:val="22"/>
    </w:rPr>
  </w:style>
  <w:style w:type="character" w:customStyle="1" w:styleId="05-Pargrafodetexto-CLGChar">
    <w:name w:val="05 - Parágrafo de texto - CLG Char"/>
    <w:link w:val="05-Pargrafodetexto-CLG"/>
    <w:rsid w:val="00E837CC"/>
    <w:rPr>
      <w:rFonts w:eastAsia="Times New Roman"/>
      <w:sz w:val="28"/>
      <w:szCs w:val="22"/>
      <w:lang w:eastAsia="pt-BR" w:bidi="ar-SA"/>
    </w:rPr>
  </w:style>
  <w:style w:type="character" w:styleId="Hyperlink">
    <w:name w:val="Hyperlink"/>
    <w:uiPriority w:val="99"/>
    <w:unhideWhenUsed/>
    <w:rsid w:val="00E837CC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E837CC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E837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E837CC"/>
    <w:rPr>
      <w:rFonts w:ascii="Calibri" w:eastAsia="Calibri" w:hAnsi="Calibri" w:cs="Times New Roman"/>
      <w:sz w:val="22"/>
    </w:rPr>
  </w:style>
  <w:style w:type="paragraph" w:customStyle="1" w:styleId="Default">
    <w:name w:val="Default"/>
    <w:qFormat/>
    <w:rsid w:val="00E973A2"/>
    <w:pPr>
      <w:suppressAutoHyphens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data">
    <w:name w:val="data"/>
    <w:basedOn w:val="Normal"/>
    <w:qFormat/>
    <w:rsid w:val="00E973A2"/>
    <w:pPr>
      <w:keepNext/>
      <w:widowControl w:val="0"/>
      <w:spacing w:before="554" w:after="1072" w:line="360" w:lineRule="exact"/>
      <w:ind w:firstLine="2302"/>
      <w:jc w:val="both"/>
    </w:pPr>
    <w:rPr>
      <w:rFonts w:ascii="Arial" w:eastAsia="Times New Roman" w:hAnsi="Arial"/>
      <w:color w:val="000000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76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76A6D"/>
    <w:rPr>
      <w:rFonts w:ascii="Tahoma" w:hAnsi="Tahoma" w:cs="Tahoma"/>
      <w:sz w:val="16"/>
      <w:szCs w:val="16"/>
      <w:lang w:eastAsia="en-US"/>
    </w:rPr>
  </w:style>
  <w:style w:type="paragraph" w:styleId="Cabealho">
    <w:name w:val="header"/>
    <w:aliases w:val="Cabeçalho - CLG"/>
    <w:basedOn w:val="Normal"/>
    <w:link w:val="CabealhoChar"/>
    <w:uiPriority w:val="99"/>
    <w:unhideWhenUsed/>
    <w:rsid w:val="00137E5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- CLG Char"/>
    <w:basedOn w:val="Fontepargpadro"/>
    <w:link w:val="Cabealho"/>
    <w:uiPriority w:val="99"/>
    <w:rsid w:val="00137E59"/>
    <w:rPr>
      <w:rFonts w:ascii="Calibri" w:hAnsi="Calibri"/>
      <w:sz w:val="22"/>
      <w:szCs w:val="22"/>
      <w:lang w:eastAsia="en-US"/>
    </w:rPr>
  </w:style>
  <w:style w:type="paragraph" w:customStyle="1" w:styleId="10-Local-CLG">
    <w:name w:val="10 - Local - CLG"/>
    <w:link w:val="10-Local-CLGChar"/>
    <w:rsid w:val="00DD378D"/>
    <w:pPr>
      <w:spacing w:before="960" w:after="720"/>
      <w:ind w:firstLine="2520"/>
      <w:jc w:val="both"/>
    </w:pPr>
    <w:rPr>
      <w:rFonts w:eastAsia="Times New Roman"/>
      <w:sz w:val="28"/>
    </w:rPr>
  </w:style>
  <w:style w:type="character" w:customStyle="1" w:styleId="10-Local-CLGChar">
    <w:name w:val="10 - Local - CLG Char"/>
    <w:link w:val="10-Local-CLG"/>
    <w:rsid w:val="00DD378D"/>
    <w:rPr>
      <w:rFonts w:eastAsia="Times New Roman"/>
      <w:sz w:val="28"/>
    </w:rPr>
  </w:style>
  <w:style w:type="paragraph" w:customStyle="1" w:styleId="Normal1">
    <w:name w:val="Normal+1"/>
    <w:basedOn w:val="Default"/>
    <w:next w:val="Default"/>
    <w:uiPriority w:val="99"/>
    <w:rsid w:val="00DD378D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32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53544B-2039-4838-A769-C97B7AC1F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1671</Words>
  <Characters>9024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Senado Federal</Company>
  <LinksUpToDate>false</LinksUpToDate>
  <CharactersWithSpaces>10674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kennethfleming</dc:creator>
  <cp:lastModifiedBy>marinacm</cp:lastModifiedBy>
  <cp:revision>3</cp:revision>
  <cp:lastPrinted>2015-12-15T16:39:00Z</cp:lastPrinted>
  <dcterms:created xsi:type="dcterms:W3CDTF">2015-12-15T16:37:00Z</dcterms:created>
  <dcterms:modified xsi:type="dcterms:W3CDTF">2015-12-15T16:39:00Z</dcterms:modified>
</cp:coreProperties>
</file>